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rPr>
          <w:rFonts w:asciiTheme="minorEastAsia" w:hAnsiTheme="minorEastAsia" w:eastAsiaTheme="minorEastAsia" w:cstheme="minorEastAsia"/>
          <w:b/>
          <w:sz w:val="48"/>
          <w:szCs w:val="48"/>
        </w:rPr>
      </w:pPr>
    </w:p>
    <w:p>
      <w:pPr>
        <w:spacing w:line="360" w:lineRule="auto"/>
        <w:jc w:val="center"/>
        <w:rPr>
          <w:rFonts w:hint="eastAsia" w:asciiTheme="minorEastAsia" w:hAnsiTheme="minorEastAsia" w:eastAsiaTheme="minorEastAsia" w:cstheme="minorEastAsia"/>
          <w:b/>
          <w:sz w:val="48"/>
          <w:szCs w:val="48"/>
          <w:lang w:eastAsia="zh-CN"/>
        </w:rPr>
      </w:pPr>
      <w:r>
        <w:rPr>
          <w:rFonts w:hint="eastAsia" w:asciiTheme="minorEastAsia" w:hAnsiTheme="minorEastAsia" w:eastAsiaTheme="minorEastAsia" w:cstheme="minorEastAsia"/>
          <w:b/>
          <w:sz w:val="48"/>
          <w:szCs w:val="48"/>
          <w:lang w:eastAsia="zh-CN"/>
        </w:rPr>
        <w:t>潜山市第一人民医院血透耗材采购项目</w:t>
      </w:r>
    </w:p>
    <w:p>
      <w:pPr>
        <w:spacing w:line="360" w:lineRule="auto"/>
        <w:jc w:val="center"/>
        <w:rPr>
          <w:rFonts w:asciiTheme="minorEastAsia" w:hAnsiTheme="minorEastAsia" w:eastAsiaTheme="minorEastAsia" w:cstheme="minorEastAsia"/>
          <w:b/>
          <w:sz w:val="110"/>
          <w:szCs w:val="110"/>
        </w:rPr>
      </w:pPr>
    </w:p>
    <w:p>
      <w:pPr>
        <w:pStyle w:val="2"/>
        <w:ind w:left="0" w:leftChars="0" w:firstLine="0" w:firstLineChars="0"/>
      </w:pPr>
    </w:p>
    <w:p>
      <w:pPr>
        <w:spacing w:line="360" w:lineRule="auto"/>
        <w:jc w:val="center"/>
        <w:rPr>
          <w:rFonts w:asciiTheme="minorEastAsia" w:hAnsiTheme="minorEastAsia" w:eastAsiaTheme="minorEastAsia" w:cstheme="minorEastAsia"/>
          <w:b/>
          <w:sz w:val="110"/>
          <w:szCs w:val="110"/>
        </w:rPr>
      </w:pPr>
      <w:r>
        <w:rPr>
          <w:rFonts w:hint="eastAsia" w:asciiTheme="minorEastAsia" w:hAnsiTheme="minorEastAsia" w:eastAsiaTheme="minorEastAsia" w:cstheme="minorEastAsia"/>
          <w:b/>
          <w:sz w:val="110"/>
          <w:szCs w:val="110"/>
        </w:rPr>
        <w:t>招 标 文 件</w:t>
      </w:r>
    </w:p>
    <w:p>
      <w:pPr>
        <w:spacing w:line="360" w:lineRule="auto"/>
        <w:jc w:val="center"/>
        <w:rPr>
          <w:rFonts w:hint="default" w:eastAsiaTheme="minorEastAsia"/>
          <w:b/>
          <w:sz w:val="24"/>
          <w:szCs w:val="32"/>
          <w:lang w:val="en-US" w:eastAsia="zh-CN"/>
        </w:rPr>
      </w:pPr>
      <w:r>
        <w:rPr>
          <w:rFonts w:hint="eastAsia" w:asciiTheme="minorEastAsia" w:hAnsiTheme="minorEastAsia" w:eastAsiaTheme="minorEastAsia" w:cstheme="minorEastAsia"/>
          <w:b/>
          <w:sz w:val="24"/>
        </w:rPr>
        <w:t>项目编号：</w:t>
      </w:r>
      <w:r>
        <w:rPr>
          <w:rFonts w:hint="eastAsia" w:eastAsiaTheme="minorEastAsia"/>
          <w:b/>
          <w:sz w:val="24"/>
          <w:lang w:eastAsia="zh-CN"/>
        </w:rPr>
        <w:t>皖TJ-CG2</w:t>
      </w:r>
      <w:r>
        <w:rPr>
          <w:rFonts w:hint="eastAsia" w:eastAsiaTheme="minorEastAsia"/>
          <w:b/>
          <w:sz w:val="24"/>
          <w:lang w:val="en-US" w:eastAsia="zh-CN"/>
        </w:rPr>
        <w:t>3017</w:t>
      </w:r>
    </w:p>
    <w:p>
      <w:pPr>
        <w:spacing w:line="360" w:lineRule="auto"/>
        <w:jc w:val="center"/>
        <w:rPr>
          <w:rFonts w:asciiTheme="minorEastAsia" w:hAnsiTheme="minorEastAsia" w:eastAsiaTheme="minorEastAsia" w:cstheme="minorEastAsia"/>
          <w:b/>
          <w:sz w:val="24"/>
          <w:szCs w:val="32"/>
        </w:rPr>
      </w:pPr>
    </w:p>
    <w:p>
      <w:pPr>
        <w:spacing w:line="360" w:lineRule="auto"/>
        <w:rPr>
          <w:rFonts w:asciiTheme="minorEastAsia" w:hAnsiTheme="minorEastAsia" w:eastAsiaTheme="minorEastAsia" w:cstheme="minorEastAsia"/>
          <w:b/>
          <w:sz w:val="24"/>
        </w:rPr>
      </w:pPr>
    </w:p>
    <w:p>
      <w:pPr>
        <w:spacing w:line="360" w:lineRule="auto"/>
        <w:rPr>
          <w:rFonts w:asciiTheme="minorEastAsia" w:hAnsiTheme="minorEastAsia" w:eastAsiaTheme="minorEastAsia" w:cstheme="minorEastAsia"/>
          <w:b/>
          <w:sz w:val="24"/>
        </w:rPr>
      </w:pPr>
    </w:p>
    <w:p>
      <w:pPr>
        <w:spacing w:line="360" w:lineRule="auto"/>
        <w:rPr>
          <w:rFonts w:asciiTheme="minorEastAsia" w:hAnsiTheme="minorEastAsia" w:eastAsiaTheme="minorEastAsia" w:cstheme="minorEastAsia"/>
          <w:b/>
          <w:sz w:val="24"/>
        </w:rPr>
      </w:pPr>
    </w:p>
    <w:p>
      <w:pPr>
        <w:spacing w:line="360" w:lineRule="auto"/>
        <w:rPr>
          <w:rFonts w:asciiTheme="minorEastAsia" w:hAnsiTheme="minorEastAsia" w:eastAsiaTheme="minorEastAsia" w:cstheme="minorEastAsia"/>
          <w:b/>
          <w:sz w:val="24"/>
        </w:rPr>
      </w:pPr>
    </w:p>
    <w:p>
      <w:pPr>
        <w:spacing w:line="360" w:lineRule="auto"/>
        <w:rPr>
          <w:rFonts w:asciiTheme="minorEastAsia" w:hAnsiTheme="minorEastAsia" w:eastAsiaTheme="minorEastAsia" w:cstheme="minorEastAsia"/>
          <w:b/>
          <w:sz w:val="24"/>
        </w:rPr>
      </w:pPr>
    </w:p>
    <w:p>
      <w:pPr>
        <w:spacing w:line="360" w:lineRule="auto"/>
        <w:ind w:firstLine="596" w:firstLineChars="198"/>
        <w:rPr>
          <w:rFonts w:asciiTheme="minorEastAsia" w:hAnsiTheme="minorEastAsia" w:eastAsiaTheme="minorEastAsia" w:cstheme="minorEastAsia"/>
          <w:b/>
          <w:szCs w:val="21"/>
        </w:rPr>
      </w:pPr>
      <w:r>
        <w:rPr>
          <w:rFonts w:hint="eastAsia" w:asciiTheme="minorEastAsia" w:hAnsiTheme="minorEastAsia" w:eastAsiaTheme="minorEastAsia" w:cstheme="minorEastAsia"/>
          <w:b/>
          <w:sz w:val="30"/>
          <w:szCs w:val="30"/>
        </w:rPr>
        <w:t>采   购   人：</w:t>
      </w:r>
      <w:r>
        <w:rPr>
          <w:rFonts w:hint="eastAsia" w:asciiTheme="minorEastAsia" w:hAnsiTheme="minorEastAsia" w:eastAsiaTheme="minorEastAsia" w:cstheme="minorEastAsia"/>
          <w:b/>
          <w:sz w:val="30"/>
          <w:szCs w:val="30"/>
          <w:u w:val="single"/>
        </w:rPr>
        <w:t xml:space="preserve">        </w:t>
      </w:r>
      <w:r>
        <w:rPr>
          <w:rFonts w:hint="eastAsia" w:asciiTheme="minorEastAsia" w:hAnsiTheme="minorEastAsia" w:eastAsiaTheme="minorEastAsia" w:cstheme="minorEastAsia"/>
          <w:b/>
          <w:spacing w:val="20"/>
          <w:sz w:val="30"/>
          <w:szCs w:val="30"/>
          <w:u w:val="single"/>
        </w:rPr>
        <w:t xml:space="preserve"> </w:t>
      </w:r>
      <w:r>
        <w:rPr>
          <w:rFonts w:hint="eastAsia" w:asciiTheme="minorEastAsia" w:hAnsiTheme="minorEastAsia" w:eastAsiaTheme="minorEastAsia" w:cstheme="minorEastAsia"/>
          <w:b/>
          <w:spacing w:val="20"/>
          <w:sz w:val="30"/>
          <w:szCs w:val="30"/>
          <w:u w:val="single"/>
          <w:lang w:eastAsia="zh-CN"/>
        </w:rPr>
        <w:t>潜山市第一人民医院</w:t>
      </w:r>
      <w:r>
        <w:rPr>
          <w:rFonts w:hint="eastAsia" w:asciiTheme="minorEastAsia" w:hAnsiTheme="minorEastAsia" w:eastAsiaTheme="minorEastAsia" w:cstheme="minorEastAsia"/>
          <w:b/>
          <w:spacing w:val="20"/>
          <w:sz w:val="30"/>
          <w:szCs w:val="30"/>
          <w:u w:val="single"/>
        </w:rPr>
        <w:t xml:space="preserve">       </w:t>
      </w:r>
      <w:r>
        <w:rPr>
          <w:rFonts w:hint="eastAsia" w:asciiTheme="minorEastAsia" w:hAnsiTheme="minorEastAsia" w:eastAsiaTheme="minorEastAsia" w:cstheme="minorEastAsia"/>
          <w:b/>
          <w:sz w:val="30"/>
          <w:szCs w:val="30"/>
          <w:u w:val="single"/>
        </w:rPr>
        <w:t xml:space="preserve">  </w:t>
      </w:r>
    </w:p>
    <w:p>
      <w:pPr>
        <w:spacing w:line="360" w:lineRule="auto"/>
        <w:rPr>
          <w:rFonts w:asciiTheme="minorEastAsia" w:hAnsiTheme="minorEastAsia" w:eastAsiaTheme="minorEastAsia" w:cstheme="minorEastAsia"/>
          <w:b/>
          <w:sz w:val="24"/>
        </w:rPr>
      </w:pPr>
    </w:p>
    <w:p>
      <w:pPr>
        <w:spacing w:line="360" w:lineRule="auto"/>
        <w:rPr>
          <w:rFonts w:asciiTheme="minorEastAsia" w:hAnsiTheme="minorEastAsia" w:eastAsiaTheme="minorEastAsia" w:cstheme="minorEastAsia"/>
          <w:b/>
          <w:sz w:val="24"/>
        </w:rPr>
      </w:pPr>
    </w:p>
    <w:p>
      <w:pPr>
        <w:spacing w:line="360" w:lineRule="auto"/>
        <w:rPr>
          <w:rFonts w:asciiTheme="minorEastAsia" w:hAnsiTheme="minorEastAsia" w:eastAsiaTheme="minorEastAsia" w:cstheme="minorEastAsia"/>
          <w:b/>
          <w:sz w:val="24"/>
        </w:rPr>
      </w:pPr>
    </w:p>
    <w:p>
      <w:pPr>
        <w:spacing w:line="360" w:lineRule="auto"/>
        <w:ind w:firstLine="596" w:firstLineChars="198"/>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30"/>
          <w:szCs w:val="30"/>
        </w:rPr>
        <w:t>采购代理机构：</w:t>
      </w:r>
      <w:r>
        <w:rPr>
          <w:rFonts w:hint="eastAsia" w:asciiTheme="minorEastAsia" w:hAnsiTheme="minorEastAsia" w:eastAsiaTheme="minorEastAsia" w:cstheme="minorEastAsia"/>
          <w:b/>
          <w:sz w:val="30"/>
          <w:szCs w:val="30"/>
          <w:u w:val="single"/>
        </w:rPr>
        <w:t xml:space="preserve">     </w:t>
      </w:r>
      <w:r>
        <w:rPr>
          <w:rFonts w:hint="eastAsia" w:asciiTheme="minorEastAsia" w:hAnsiTheme="minorEastAsia" w:eastAsiaTheme="minorEastAsia" w:cstheme="minorEastAsia"/>
          <w:b/>
          <w:sz w:val="32"/>
          <w:u w:val="single"/>
        </w:rPr>
        <w:t xml:space="preserve">安徽泰杰工程咨询有限公司  </w:t>
      </w:r>
      <w:r>
        <w:rPr>
          <w:rFonts w:hint="eastAsia" w:asciiTheme="minorEastAsia" w:hAnsiTheme="minorEastAsia" w:eastAsiaTheme="minorEastAsia" w:cstheme="minorEastAsia"/>
          <w:b/>
          <w:spacing w:val="20"/>
          <w:sz w:val="30"/>
          <w:szCs w:val="30"/>
          <w:u w:val="single"/>
        </w:rPr>
        <w:t xml:space="preserve">  </w:t>
      </w:r>
      <w:r>
        <w:rPr>
          <w:rFonts w:hint="eastAsia" w:asciiTheme="minorEastAsia" w:hAnsiTheme="minorEastAsia" w:eastAsiaTheme="minorEastAsia" w:cstheme="minorEastAsia"/>
          <w:b/>
          <w:sz w:val="30"/>
          <w:szCs w:val="30"/>
          <w:u w:val="single"/>
        </w:rPr>
        <w:t xml:space="preserve">  </w:t>
      </w:r>
      <w:r>
        <w:rPr>
          <w:rFonts w:hint="eastAsia" w:asciiTheme="minorEastAsia" w:hAnsiTheme="minorEastAsia" w:eastAsiaTheme="minorEastAsia" w:cstheme="minorEastAsia"/>
          <w:b/>
          <w:sz w:val="30"/>
          <w:szCs w:val="30"/>
        </w:rPr>
        <w:t xml:space="preserve">       </w:t>
      </w:r>
    </w:p>
    <w:p>
      <w:pPr>
        <w:spacing w:line="360" w:lineRule="auto"/>
        <w:rPr>
          <w:rFonts w:asciiTheme="minorEastAsia" w:hAnsiTheme="minorEastAsia" w:eastAsiaTheme="minorEastAsia" w:cstheme="minorEastAsia"/>
          <w:b/>
          <w:sz w:val="24"/>
          <w:u w:val="single"/>
        </w:rPr>
      </w:pPr>
    </w:p>
    <w:p>
      <w:pPr>
        <w:spacing w:line="360" w:lineRule="auto"/>
        <w:rPr>
          <w:rFonts w:asciiTheme="minorEastAsia" w:hAnsiTheme="minorEastAsia" w:eastAsiaTheme="minorEastAsia" w:cstheme="minorEastAsia"/>
          <w:b/>
          <w:sz w:val="24"/>
          <w:u w:val="single"/>
        </w:rPr>
      </w:pPr>
    </w:p>
    <w:p>
      <w:pPr>
        <w:spacing w:line="360" w:lineRule="auto"/>
        <w:jc w:val="center"/>
        <w:rPr>
          <w:rFonts w:asciiTheme="minorEastAsia" w:hAnsiTheme="minorEastAsia" w:eastAsiaTheme="minorEastAsia" w:cstheme="minorEastAsia"/>
          <w:sz w:val="24"/>
        </w:rPr>
      </w:pPr>
    </w:p>
    <w:p>
      <w:pPr>
        <w:spacing w:line="360" w:lineRule="auto"/>
        <w:rPr>
          <w:rFonts w:asciiTheme="minorEastAsia" w:hAnsiTheme="minorEastAsia" w:eastAsiaTheme="minorEastAsia" w:cstheme="minorEastAsia"/>
          <w:b/>
          <w:sz w:val="24"/>
          <w:u w:val="single"/>
        </w:rPr>
      </w:pPr>
    </w:p>
    <w:p>
      <w:pPr>
        <w:spacing w:line="360" w:lineRule="auto"/>
        <w:rPr>
          <w:rFonts w:asciiTheme="minorEastAsia" w:hAnsiTheme="minorEastAsia" w:eastAsiaTheme="minorEastAsia" w:cstheme="minorEastAsia"/>
          <w:b/>
          <w:sz w:val="24"/>
          <w:u w:val="single"/>
        </w:rPr>
      </w:pPr>
    </w:p>
    <w:p>
      <w:pPr>
        <w:spacing w:line="36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b/>
          <w:sz w:val="30"/>
          <w:szCs w:val="30"/>
        </w:rPr>
        <w:t>日  期：</w:t>
      </w:r>
      <w:r>
        <w:rPr>
          <w:rFonts w:hint="eastAsia" w:asciiTheme="minorEastAsia" w:hAnsiTheme="minorEastAsia" w:eastAsiaTheme="minorEastAsia" w:cstheme="minorEastAsia"/>
          <w:b/>
          <w:sz w:val="30"/>
          <w:szCs w:val="30"/>
          <w:lang w:val="en-US" w:eastAsia="zh-CN"/>
        </w:rPr>
        <w:t>2023</w:t>
      </w:r>
      <w:r>
        <w:rPr>
          <w:rFonts w:hint="eastAsia" w:asciiTheme="minorEastAsia" w:hAnsiTheme="minorEastAsia" w:eastAsiaTheme="minorEastAsia" w:cstheme="minorEastAsia"/>
          <w:b/>
          <w:sz w:val="30"/>
          <w:szCs w:val="30"/>
        </w:rPr>
        <w:t>年</w:t>
      </w:r>
      <w:r>
        <w:rPr>
          <w:rFonts w:hint="eastAsia" w:asciiTheme="minorEastAsia" w:hAnsiTheme="minorEastAsia" w:eastAsiaTheme="minorEastAsia" w:cstheme="minorEastAsia"/>
          <w:b/>
          <w:sz w:val="30"/>
          <w:szCs w:val="30"/>
          <w:lang w:val="en-US" w:eastAsia="zh-CN"/>
        </w:rPr>
        <w:t>3</w:t>
      </w:r>
      <w:r>
        <w:rPr>
          <w:rFonts w:hint="eastAsia" w:asciiTheme="minorEastAsia" w:hAnsiTheme="minorEastAsia" w:eastAsiaTheme="minorEastAsia" w:cstheme="minorEastAsia"/>
          <w:b/>
          <w:sz w:val="30"/>
          <w:szCs w:val="30"/>
        </w:rPr>
        <w:t>月</w:t>
      </w:r>
    </w:p>
    <w:p>
      <w:pPr>
        <w:rPr>
          <w:rFonts w:asciiTheme="minorEastAsia" w:hAnsiTheme="minorEastAsia" w:eastAsiaTheme="minorEastAsia" w:cstheme="minorEastAsia"/>
          <w:b/>
          <w:sz w:val="36"/>
          <w:szCs w:val="36"/>
        </w:rPr>
      </w:pPr>
    </w:p>
    <w:p>
      <w:pPr>
        <w:pStyle w:val="2"/>
      </w:pPr>
    </w:p>
    <w:p>
      <w:pPr>
        <w:widowControl/>
        <w:spacing w:line="480" w:lineRule="auto"/>
        <w:jc w:val="center"/>
        <w:rPr>
          <w:rFonts w:asciiTheme="minorEastAsia" w:hAnsiTheme="minorEastAsia" w:eastAsiaTheme="minorEastAsia" w:cstheme="minorEastAsia"/>
          <w:b/>
          <w:kern w:val="0"/>
          <w:sz w:val="32"/>
          <w:szCs w:val="32"/>
        </w:rPr>
      </w:pPr>
      <w:r>
        <w:rPr>
          <w:rFonts w:hint="eastAsia" w:asciiTheme="minorEastAsia" w:hAnsiTheme="minorEastAsia" w:eastAsiaTheme="minorEastAsia" w:cstheme="minorEastAsia"/>
          <w:b/>
          <w:kern w:val="0"/>
          <w:sz w:val="32"/>
          <w:szCs w:val="32"/>
        </w:rPr>
        <w:t>重  要  提  醒</w:t>
      </w:r>
    </w:p>
    <w:p>
      <w:pPr>
        <w:widowControl/>
        <w:spacing w:line="480" w:lineRule="auto"/>
        <w:ind w:firstLine="482" w:firstLineChars="200"/>
        <w:jc w:val="left"/>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一、请各市场主体依法参与公共资源交易活动，如存在以下情形的，公共资源交易监管部门将其作为扫黑除恶专项斗争的打击重点予以处理。</w:t>
      </w:r>
    </w:p>
    <w:p>
      <w:pPr>
        <w:widowControl/>
        <w:spacing w:line="480" w:lineRule="auto"/>
        <w:ind w:firstLine="482" w:firstLineChars="200"/>
        <w:jc w:val="left"/>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 xml:space="preserve">1.组织、领导、实施恶意竞标、围标、串标、虚假投标、挂靠投标、出让资质等违法活动。 </w:t>
      </w:r>
    </w:p>
    <w:p>
      <w:pPr>
        <w:widowControl/>
        <w:spacing w:line="480" w:lineRule="auto"/>
        <w:ind w:firstLine="482" w:firstLineChars="200"/>
        <w:jc w:val="left"/>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 xml:space="preserve">2.以暴力、威胁、利诱等手段强迫他人参与或者退出投标、拍卖以及强迫他人中标后放弃中标或转包的黑恶势力。 </w:t>
      </w:r>
    </w:p>
    <w:p>
      <w:pPr>
        <w:widowControl/>
        <w:spacing w:line="480" w:lineRule="auto"/>
        <w:ind w:firstLine="482" w:firstLineChars="200"/>
        <w:jc w:val="left"/>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 xml:space="preserve">3.聚众围堵开、评标现场，干扰正常开评标秩序的行为。 </w:t>
      </w:r>
    </w:p>
    <w:p>
      <w:pPr>
        <w:widowControl/>
        <w:spacing w:line="480" w:lineRule="auto"/>
        <w:ind w:firstLine="482" w:firstLineChars="200"/>
        <w:jc w:val="left"/>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 xml:space="preserve">4.在招投标过程中寻衅滋事、恶意投诉，或以投诉、信访、举报相威胁获取不正当利益的行为。 </w:t>
      </w:r>
    </w:p>
    <w:p>
      <w:pPr>
        <w:widowControl/>
        <w:spacing w:line="480" w:lineRule="auto"/>
        <w:ind w:firstLine="482" w:firstLineChars="200"/>
        <w:jc w:val="left"/>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 xml:space="preserve">5.伪造资质证书、证件、提供虚假材料进行投标，谋取不正当利益的违法行为。 </w:t>
      </w:r>
    </w:p>
    <w:p>
      <w:pPr>
        <w:widowControl/>
        <w:spacing w:line="480" w:lineRule="auto"/>
        <w:ind w:firstLine="482" w:firstLineChars="200"/>
        <w:jc w:val="left"/>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 xml:space="preserve">6.采取贿赂、暴力、欺骗、威胁等手段干扰破坏招投标监管、服务人员以及评标专家正常工作的黑恶势力。 </w:t>
      </w:r>
    </w:p>
    <w:p>
      <w:pPr>
        <w:widowControl/>
        <w:spacing w:line="480" w:lineRule="auto"/>
        <w:ind w:firstLine="482" w:firstLineChars="200"/>
        <w:jc w:val="left"/>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 xml:space="preserve">7.采取言语威胁、谈判协商、跟踪盯梢、散播隐私、造谣诽谤、持续骚扰等软暴力手段恐吓监管服务人员、评标专家及其家属的违法犯罪行为。 </w:t>
      </w:r>
    </w:p>
    <w:p>
      <w:pPr>
        <w:widowControl/>
        <w:spacing w:line="480" w:lineRule="auto"/>
        <w:ind w:firstLine="482" w:firstLineChars="200"/>
        <w:jc w:val="left"/>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 xml:space="preserve">8.利诱、欺骗采购人违反相关规定按其意图设置招标文件条款的违法违规行为。 </w:t>
      </w:r>
    </w:p>
    <w:p>
      <w:pPr>
        <w:widowControl/>
        <w:spacing w:line="480" w:lineRule="auto"/>
        <w:ind w:firstLine="482" w:firstLineChars="200"/>
        <w:jc w:val="left"/>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 xml:space="preserve">9.窃取项目投标人报名情况、评标委员会组成人员等保密信息。 </w:t>
      </w:r>
    </w:p>
    <w:p>
      <w:pPr>
        <w:widowControl/>
        <w:spacing w:line="480" w:lineRule="auto"/>
        <w:ind w:firstLine="482" w:firstLineChars="200"/>
        <w:jc w:val="left"/>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 xml:space="preserve">10.领导干部违反规定插手干预项目招投标活动。 </w:t>
      </w:r>
    </w:p>
    <w:p>
      <w:pPr>
        <w:widowControl/>
        <w:spacing w:line="480" w:lineRule="auto"/>
        <w:ind w:firstLine="482" w:firstLineChars="200"/>
        <w:jc w:val="left"/>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11.干部职工在招投标活动中与黑恶势力勾结，充当保护伞。</w:t>
      </w:r>
    </w:p>
    <w:p>
      <w:pPr>
        <w:widowControl/>
        <w:spacing w:line="480" w:lineRule="auto"/>
        <w:ind w:firstLine="482" w:firstLineChars="200"/>
        <w:jc w:val="left"/>
        <w:rPr>
          <w:rFonts w:asciiTheme="minorEastAsia" w:hAnsiTheme="minorEastAsia" w:eastAsiaTheme="minorEastAsia" w:cstheme="minorEastAsia"/>
          <w:b/>
          <w:kern w:val="0"/>
          <w:sz w:val="24"/>
        </w:rPr>
      </w:pPr>
    </w:p>
    <w:p>
      <w:pPr>
        <w:widowControl/>
        <w:spacing w:line="480" w:lineRule="auto"/>
        <w:ind w:firstLine="482" w:firstLineChars="200"/>
        <w:jc w:val="left"/>
        <w:rPr>
          <w:rFonts w:asciiTheme="minorEastAsia" w:hAnsiTheme="minorEastAsia" w:eastAsiaTheme="minorEastAsia" w:cstheme="minorEastAsia"/>
          <w:b/>
          <w:kern w:val="0"/>
          <w:sz w:val="24"/>
        </w:rPr>
      </w:pPr>
    </w:p>
    <w:p>
      <w:pPr>
        <w:widowControl/>
        <w:spacing w:line="480" w:lineRule="auto"/>
        <w:ind w:firstLine="482" w:firstLineChars="200"/>
        <w:jc w:val="left"/>
        <w:rPr>
          <w:rFonts w:asciiTheme="minorEastAsia" w:hAnsiTheme="minorEastAsia" w:eastAsiaTheme="minorEastAsia" w:cstheme="minorEastAsia"/>
          <w:b/>
          <w:kern w:val="0"/>
          <w:sz w:val="24"/>
        </w:rPr>
      </w:pPr>
    </w:p>
    <w:p>
      <w:pPr>
        <w:pStyle w:val="2"/>
        <w:ind w:left="0" w:firstLine="0"/>
      </w:pPr>
    </w:p>
    <w:p>
      <w:pPr>
        <w:widowControl/>
        <w:spacing w:line="480" w:lineRule="auto"/>
        <w:ind w:firstLine="482" w:firstLineChars="200"/>
        <w:jc w:val="left"/>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二、请各投标人认真阅读招标文件，对下述事项予以重视：</w:t>
      </w:r>
    </w:p>
    <w:p>
      <w:pPr>
        <w:widowControl/>
        <w:spacing w:line="480" w:lineRule="auto"/>
        <w:ind w:firstLine="482" w:firstLineChars="200"/>
        <w:jc w:val="left"/>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1、请依据项目资格要求，自行核对营业执照合法有效。</w:t>
      </w:r>
    </w:p>
    <w:p>
      <w:pPr>
        <w:widowControl/>
        <w:spacing w:line="480" w:lineRule="auto"/>
        <w:ind w:firstLine="482" w:firstLineChars="200"/>
        <w:jc w:val="left"/>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2、按照招标文件要求制作投标文件，投标文件创建标识码、文件制作机器码任一项一致的将不予通过符合性评审，并予以披露，记入不良行为记录。</w:t>
      </w:r>
    </w:p>
    <w:p>
      <w:pPr>
        <w:widowControl/>
        <w:spacing w:line="480" w:lineRule="auto"/>
        <w:ind w:firstLine="482" w:firstLineChars="200"/>
        <w:jc w:val="left"/>
        <w:rPr>
          <w:rFonts w:asciiTheme="minorEastAsia" w:hAnsiTheme="minorEastAsia" w:eastAsiaTheme="minorEastAsia" w:cstheme="minorEastAsia"/>
          <w:b/>
          <w:kern w:val="0"/>
          <w:sz w:val="28"/>
          <w:szCs w:val="28"/>
        </w:rPr>
      </w:pPr>
      <w:r>
        <w:rPr>
          <w:rFonts w:hint="eastAsia" w:asciiTheme="minorEastAsia" w:hAnsiTheme="minorEastAsia" w:eastAsiaTheme="minorEastAsia" w:cstheme="minorEastAsia"/>
          <w:b/>
          <w:kern w:val="0"/>
          <w:sz w:val="24"/>
        </w:rPr>
        <w:t>3、对投标活动中可能发生的质疑、投诉行为，须依法在规定的时间内提出。</w:t>
      </w:r>
      <w:r>
        <w:rPr>
          <w:rFonts w:hint="eastAsia" w:asciiTheme="minorEastAsia" w:hAnsiTheme="minorEastAsia" w:eastAsiaTheme="minorEastAsia" w:cstheme="minorEastAsia"/>
          <w:b/>
          <w:kern w:val="0"/>
          <w:sz w:val="28"/>
          <w:szCs w:val="28"/>
        </w:rPr>
        <w:t xml:space="preserve"> </w:t>
      </w:r>
    </w:p>
    <w:p>
      <w:pPr>
        <w:widowControl/>
        <w:spacing w:line="480" w:lineRule="auto"/>
        <w:ind w:firstLine="482" w:firstLineChars="200"/>
        <w:jc w:val="left"/>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4、本项目开评标期间，投标人必须保证联系电话、电子邮箱通畅，因投标人通讯不畅造成的不利后果由投标人自行承担。</w:t>
      </w:r>
    </w:p>
    <w:p>
      <w:pPr>
        <w:widowControl/>
        <w:spacing w:line="480" w:lineRule="auto"/>
        <w:ind w:firstLine="562" w:firstLineChars="200"/>
        <w:jc w:val="left"/>
        <w:rPr>
          <w:rFonts w:asciiTheme="minorEastAsia" w:hAnsiTheme="minorEastAsia" w:eastAsiaTheme="minorEastAsia" w:cstheme="minorEastAsia"/>
          <w:b/>
          <w:kern w:val="0"/>
          <w:sz w:val="28"/>
          <w:szCs w:val="28"/>
        </w:rPr>
      </w:pP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p>
    <w:p>
      <w:pPr>
        <w:pStyle w:val="2"/>
        <w:rPr>
          <w:rFonts w:asciiTheme="minorEastAsia" w:hAnsiTheme="minorEastAsia" w:eastAsiaTheme="minorEastAsia" w:cstheme="minorEastAsia"/>
          <w:b/>
          <w:sz w:val="36"/>
          <w:szCs w:val="36"/>
        </w:rPr>
      </w:pPr>
    </w:p>
    <w:p>
      <w:pPr>
        <w:pStyle w:val="2"/>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p>
    <w:p>
      <w:pPr>
        <w:jc w:val="center"/>
        <w:outlineLvl w:val="0"/>
        <w:rPr>
          <w:rFonts w:asciiTheme="minorEastAsia" w:hAnsiTheme="minorEastAsia" w:eastAsiaTheme="minorEastAsia" w:cstheme="minorEastAsia"/>
          <w:b/>
          <w:sz w:val="36"/>
          <w:szCs w:val="36"/>
        </w:rPr>
      </w:pPr>
      <w:bookmarkStart w:id="0" w:name="_Toc18253"/>
      <w:bookmarkStart w:id="1" w:name="_Toc22580"/>
      <w:bookmarkStart w:id="2" w:name="_Toc28107"/>
      <w:bookmarkStart w:id="3" w:name="_Toc32396"/>
      <w:bookmarkStart w:id="4" w:name="_Toc24403"/>
      <w:bookmarkStart w:id="5" w:name="_Toc2152"/>
      <w:r>
        <w:rPr>
          <w:rFonts w:hint="eastAsia" w:asciiTheme="minorEastAsia" w:hAnsiTheme="minorEastAsia" w:eastAsiaTheme="minorEastAsia" w:cstheme="minorEastAsia"/>
          <w:b/>
          <w:sz w:val="36"/>
          <w:szCs w:val="36"/>
        </w:rPr>
        <w:t>目   录</w:t>
      </w:r>
      <w:bookmarkEnd w:id="0"/>
      <w:bookmarkEnd w:id="1"/>
      <w:bookmarkEnd w:id="2"/>
      <w:bookmarkEnd w:id="3"/>
      <w:bookmarkEnd w:id="4"/>
      <w:bookmarkEnd w:id="5"/>
    </w:p>
    <w:p>
      <w:pPr>
        <w:pStyle w:val="21"/>
        <w:tabs>
          <w:tab w:val="right" w:leader="dot" w:pos="9446"/>
          <w:tab w:val="clear" w:pos="1260"/>
          <w:tab w:val="clear" w:pos="9060"/>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TOC \o "1-1" \h \u </w:instrText>
      </w:r>
      <w:r>
        <w:rPr>
          <w:rFonts w:hint="eastAsia" w:asciiTheme="minorEastAsia" w:hAnsiTheme="minorEastAsia" w:eastAsiaTheme="minorEastAsia" w:cstheme="minorEastAsia"/>
        </w:rPr>
        <w:fldChar w:fldCharType="separate"/>
      </w:r>
      <w:r>
        <w:fldChar w:fldCharType="begin"/>
      </w:r>
      <w:r>
        <w:instrText xml:space="preserve"> HYPERLINK \l "_Toc24403" </w:instrText>
      </w:r>
      <w:r>
        <w:fldChar w:fldCharType="separate"/>
      </w:r>
      <w:r>
        <w:rPr>
          <w:rFonts w:hint="eastAsia" w:asciiTheme="minorEastAsia" w:hAnsiTheme="minorEastAsia" w:eastAsiaTheme="minorEastAsia" w:cstheme="minorEastAsia"/>
          <w:szCs w:val="36"/>
        </w:rPr>
        <w:t>目   录</w:t>
      </w:r>
      <w:r>
        <w:tab/>
      </w:r>
      <w:r>
        <w:fldChar w:fldCharType="begin"/>
      </w:r>
      <w:r>
        <w:instrText xml:space="preserve"> PAGEREF _Toc24403 \h </w:instrText>
      </w:r>
      <w:r>
        <w:fldChar w:fldCharType="separate"/>
      </w:r>
      <w:r>
        <w:t>4</w:t>
      </w:r>
      <w:r>
        <w:fldChar w:fldCharType="end"/>
      </w:r>
      <w:r>
        <w:fldChar w:fldCharType="end"/>
      </w:r>
    </w:p>
    <w:p>
      <w:pPr>
        <w:pStyle w:val="21"/>
        <w:tabs>
          <w:tab w:val="right" w:leader="dot" w:pos="9446"/>
          <w:tab w:val="clear" w:pos="1260"/>
          <w:tab w:val="clear" w:pos="9060"/>
        </w:tabs>
      </w:pPr>
      <w:r>
        <w:fldChar w:fldCharType="begin"/>
      </w:r>
      <w:r>
        <w:instrText xml:space="preserve"> HYPERLINK \l "_Toc1034" </w:instrText>
      </w:r>
      <w:r>
        <w:fldChar w:fldCharType="separate"/>
      </w:r>
      <w:r>
        <w:rPr>
          <w:rFonts w:asciiTheme="minorEastAsia" w:hAnsiTheme="minorEastAsia" w:eastAsiaTheme="minorEastAsia" w:cstheme="minorEastAsia"/>
        </w:rPr>
        <w:t xml:space="preserve">第一章 </w:t>
      </w:r>
      <w:r>
        <w:rPr>
          <w:rFonts w:hint="eastAsia" w:asciiTheme="minorEastAsia" w:hAnsiTheme="minorEastAsia" w:eastAsiaTheme="minorEastAsia" w:cstheme="minorEastAsia"/>
        </w:rPr>
        <w:t>招标公告</w:t>
      </w:r>
      <w:r>
        <w:tab/>
      </w:r>
      <w:r>
        <w:fldChar w:fldCharType="begin"/>
      </w:r>
      <w:r>
        <w:instrText xml:space="preserve"> PAGEREF _Toc1034 \h </w:instrText>
      </w:r>
      <w:r>
        <w:fldChar w:fldCharType="separate"/>
      </w:r>
      <w:r>
        <w:t>5</w:t>
      </w:r>
      <w:r>
        <w:fldChar w:fldCharType="end"/>
      </w:r>
      <w:r>
        <w:fldChar w:fldCharType="end"/>
      </w:r>
    </w:p>
    <w:p>
      <w:pPr>
        <w:pStyle w:val="21"/>
        <w:tabs>
          <w:tab w:val="right" w:leader="dot" w:pos="9446"/>
          <w:tab w:val="clear" w:pos="1260"/>
          <w:tab w:val="clear" w:pos="9060"/>
        </w:tabs>
      </w:pPr>
      <w:r>
        <w:fldChar w:fldCharType="begin"/>
      </w:r>
      <w:r>
        <w:instrText xml:space="preserve"> HYPERLINK \l "_Toc2782" </w:instrText>
      </w:r>
      <w:r>
        <w:fldChar w:fldCharType="separate"/>
      </w:r>
      <w:r>
        <w:rPr>
          <w:rFonts w:asciiTheme="minorEastAsia" w:hAnsiTheme="minorEastAsia" w:eastAsiaTheme="minorEastAsia" w:cstheme="minorEastAsia"/>
        </w:rPr>
        <w:t xml:space="preserve">第二章 </w:t>
      </w:r>
      <w:r>
        <w:rPr>
          <w:rFonts w:hint="eastAsia" w:asciiTheme="minorEastAsia" w:hAnsiTheme="minorEastAsia" w:eastAsiaTheme="minorEastAsia" w:cstheme="minorEastAsia"/>
        </w:rPr>
        <w:t>投标人须知</w:t>
      </w:r>
      <w:r>
        <w:tab/>
      </w:r>
      <w:r>
        <w:fldChar w:fldCharType="begin"/>
      </w:r>
      <w:r>
        <w:instrText xml:space="preserve"> PAGEREF _Toc2782 \h </w:instrText>
      </w:r>
      <w:r>
        <w:fldChar w:fldCharType="separate"/>
      </w:r>
      <w:r>
        <w:t>12</w:t>
      </w:r>
      <w:r>
        <w:fldChar w:fldCharType="end"/>
      </w:r>
      <w:r>
        <w:fldChar w:fldCharType="end"/>
      </w:r>
    </w:p>
    <w:p>
      <w:pPr>
        <w:pStyle w:val="21"/>
        <w:tabs>
          <w:tab w:val="right" w:leader="dot" w:pos="9446"/>
          <w:tab w:val="clear" w:pos="1260"/>
          <w:tab w:val="clear" w:pos="9060"/>
        </w:tabs>
      </w:pPr>
      <w:r>
        <w:fldChar w:fldCharType="begin"/>
      </w:r>
      <w:r>
        <w:instrText xml:space="preserve"> HYPERLINK \l "_Toc2478" </w:instrText>
      </w:r>
      <w:r>
        <w:fldChar w:fldCharType="separate"/>
      </w:r>
      <w:r>
        <w:rPr>
          <w:rFonts w:asciiTheme="minorEastAsia" w:hAnsiTheme="minorEastAsia" w:eastAsiaTheme="minorEastAsia" w:cstheme="minorEastAsia"/>
        </w:rPr>
        <w:t xml:space="preserve">第三章 </w:t>
      </w:r>
      <w:r>
        <w:rPr>
          <w:rFonts w:hint="eastAsia" w:asciiTheme="minorEastAsia" w:hAnsiTheme="minorEastAsia" w:eastAsiaTheme="minorEastAsia" w:cstheme="minorEastAsia"/>
        </w:rPr>
        <w:t>评标方法和标准</w:t>
      </w:r>
      <w:r>
        <w:tab/>
      </w:r>
      <w:r>
        <w:fldChar w:fldCharType="begin"/>
      </w:r>
      <w:r>
        <w:instrText xml:space="preserve"> PAGEREF _Toc2478 \h </w:instrText>
      </w:r>
      <w:r>
        <w:fldChar w:fldCharType="separate"/>
      </w:r>
      <w:r>
        <w:t>23</w:t>
      </w:r>
      <w:r>
        <w:fldChar w:fldCharType="end"/>
      </w:r>
      <w:r>
        <w:fldChar w:fldCharType="end"/>
      </w:r>
    </w:p>
    <w:p>
      <w:pPr>
        <w:pStyle w:val="21"/>
        <w:tabs>
          <w:tab w:val="right" w:leader="dot" w:pos="9446"/>
          <w:tab w:val="clear" w:pos="1260"/>
          <w:tab w:val="clear" w:pos="9060"/>
        </w:tabs>
      </w:pPr>
      <w:r>
        <w:fldChar w:fldCharType="begin"/>
      </w:r>
      <w:r>
        <w:instrText xml:space="preserve"> HYPERLINK \l "_Toc15562" </w:instrText>
      </w:r>
      <w:r>
        <w:fldChar w:fldCharType="separate"/>
      </w:r>
      <w:r>
        <w:rPr>
          <w:rFonts w:asciiTheme="minorEastAsia" w:hAnsiTheme="minorEastAsia" w:eastAsiaTheme="minorEastAsia" w:cstheme="minorEastAsia"/>
        </w:rPr>
        <w:t xml:space="preserve">第四章 </w:t>
      </w:r>
      <w:r>
        <w:rPr>
          <w:rFonts w:hint="eastAsia" w:asciiTheme="minorEastAsia" w:hAnsiTheme="minorEastAsia" w:eastAsiaTheme="minorEastAsia" w:cstheme="minorEastAsia"/>
        </w:rPr>
        <w:t>采购需求</w:t>
      </w:r>
      <w:r>
        <w:tab/>
      </w:r>
      <w:r>
        <w:fldChar w:fldCharType="begin"/>
      </w:r>
      <w:r>
        <w:instrText xml:space="preserve"> PAGEREF _Toc15562 \h </w:instrText>
      </w:r>
      <w:r>
        <w:fldChar w:fldCharType="separate"/>
      </w:r>
      <w:r>
        <w:t>28</w:t>
      </w:r>
      <w:r>
        <w:fldChar w:fldCharType="end"/>
      </w:r>
      <w:r>
        <w:fldChar w:fldCharType="end"/>
      </w:r>
    </w:p>
    <w:p>
      <w:pPr>
        <w:pStyle w:val="21"/>
        <w:tabs>
          <w:tab w:val="right" w:leader="dot" w:pos="9446"/>
          <w:tab w:val="clear" w:pos="1260"/>
          <w:tab w:val="clear" w:pos="9060"/>
        </w:tabs>
      </w:pPr>
      <w:r>
        <w:fldChar w:fldCharType="begin"/>
      </w:r>
      <w:r>
        <w:instrText xml:space="preserve"> HYPERLINK \l "_Toc6270" </w:instrText>
      </w:r>
      <w:r>
        <w:fldChar w:fldCharType="separate"/>
      </w:r>
      <w:r>
        <w:rPr>
          <w:rFonts w:asciiTheme="minorEastAsia" w:hAnsiTheme="minorEastAsia" w:eastAsiaTheme="minorEastAsia" w:cstheme="minorEastAsia"/>
        </w:rPr>
        <w:t xml:space="preserve">第五章 </w:t>
      </w:r>
      <w:r>
        <w:rPr>
          <w:rFonts w:hint="eastAsia" w:asciiTheme="minorEastAsia" w:hAnsiTheme="minorEastAsia" w:eastAsiaTheme="minorEastAsia" w:cstheme="minorEastAsia"/>
        </w:rPr>
        <w:t>政府采购合同主要条款</w:t>
      </w:r>
      <w:r>
        <w:tab/>
      </w:r>
      <w:r>
        <w:fldChar w:fldCharType="begin"/>
      </w:r>
      <w:r>
        <w:instrText xml:space="preserve"> PAGEREF _Toc6270 \h </w:instrText>
      </w:r>
      <w:r>
        <w:fldChar w:fldCharType="separate"/>
      </w:r>
      <w:r>
        <w:t>33</w:t>
      </w:r>
      <w:r>
        <w:fldChar w:fldCharType="end"/>
      </w:r>
      <w:r>
        <w:fldChar w:fldCharType="end"/>
      </w:r>
    </w:p>
    <w:p>
      <w:pPr>
        <w:pStyle w:val="21"/>
        <w:tabs>
          <w:tab w:val="right" w:leader="dot" w:pos="9446"/>
          <w:tab w:val="clear" w:pos="1260"/>
          <w:tab w:val="clear" w:pos="9060"/>
        </w:tabs>
      </w:pPr>
      <w:r>
        <w:fldChar w:fldCharType="begin"/>
      </w:r>
      <w:r>
        <w:instrText xml:space="preserve"> HYPERLINK \l "_Toc23354" </w:instrText>
      </w:r>
      <w:r>
        <w:fldChar w:fldCharType="separate"/>
      </w:r>
      <w:r>
        <w:rPr>
          <w:rFonts w:asciiTheme="minorEastAsia" w:hAnsiTheme="minorEastAsia" w:eastAsiaTheme="minorEastAsia" w:cstheme="minorEastAsia"/>
        </w:rPr>
        <w:t xml:space="preserve">第六章 </w:t>
      </w:r>
      <w:r>
        <w:rPr>
          <w:rFonts w:hint="eastAsia" w:asciiTheme="minorEastAsia" w:hAnsiTheme="minorEastAsia" w:eastAsiaTheme="minorEastAsia" w:cstheme="minorEastAsia"/>
        </w:rPr>
        <w:t>投标文件格式</w:t>
      </w:r>
      <w:r>
        <w:tab/>
      </w:r>
      <w:r>
        <w:fldChar w:fldCharType="begin"/>
      </w:r>
      <w:r>
        <w:instrText xml:space="preserve"> PAGEREF _Toc23354 \h </w:instrText>
      </w:r>
      <w:r>
        <w:fldChar w:fldCharType="separate"/>
      </w:r>
      <w:r>
        <w:t>42</w:t>
      </w:r>
      <w:r>
        <w:fldChar w:fldCharType="end"/>
      </w:r>
      <w:r>
        <w:fldChar w:fldCharType="end"/>
      </w:r>
    </w:p>
    <w:p>
      <w:pPr>
        <w:rPr>
          <w:rFonts w:asciiTheme="minorEastAsia" w:hAnsiTheme="minorEastAsia" w:eastAsiaTheme="minorEastAsia" w:cstheme="minorEastAsia"/>
        </w:rPr>
      </w:pPr>
      <w:r>
        <w:rPr>
          <w:rFonts w:hint="eastAsia" w:asciiTheme="minorEastAsia" w:hAnsiTheme="minorEastAsia" w:eastAsiaTheme="minorEastAsia" w:cstheme="minorEastAsia"/>
        </w:rPr>
        <w:fldChar w:fldCharType="end"/>
      </w:r>
    </w:p>
    <w:p>
      <w:pPr>
        <w:pStyle w:val="14"/>
        <w:tabs>
          <w:tab w:val="right" w:leader="dot" w:pos="9060"/>
        </w:tabs>
        <w:ind w:left="840"/>
        <w:outlineLvl w:val="0"/>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jc w:val="right"/>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pStyle w:val="27"/>
      </w:pPr>
    </w:p>
    <w:p>
      <w:pPr>
        <w:pStyle w:val="2"/>
        <w:ind w:left="0" w:leftChars="0" w:firstLine="0" w:firstLineChars="0"/>
      </w:pPr>
    </w:p>
    <w:p>
      <w:pPr>
        <w:pStyle w:val="3"/>
        <w:numPr>
          <w:ilvl w:val="0"/>
          <w:numId w:val="1"/>
        </w:numPr>
        <w:rPr>
          <w:rFonts w:asciiTheme="minorEastAsia" w:hAnsiTheme="minorEastAsia" w:eastAsiaTheme="minorEastAsia" w:cstheme="minorEastAsia"/>
        </w:rPr>
      </w:pPr>
      <w:bookmarkStart w:id="6" w:name="_Toc22581"/>
      <w:bookmarkStart w:id="7" w:name="_Toc16671"/>
      <w:bookmarkStart w:id="8" w:name="_Toc1034"/>
      <w:r>
        <w:rPr>
          <w:rFonts w:hint="eastAsia" w:asciiTheme="minorEastAsia" w:hAnsiTheme="minorEastAsia" w:eastAsiaTheme="minorEastAsia" w:cstheme="minorEastAsia"/>
        </w:rPr>
        <w:t>招标公告</w:t>
      </w:r>
      <w:bookmarkEnd w:id="6"/>
      <w:bookmarkEnd w:id="7"/>
      <w:bookmarkEnd w:id="8"/>
    </w:p>
    <w:p>
      <w:pPr>
        <w:jc w:val="center"/>
        <w:rPr>
          <w:rFonts w:asciiTheme="minorEastAsia" w:hAnsiTheme="minorEastAsia" w:eastAsiaTheme="minorEastAsia" w:cstheme="minorEastAsia"/>
          <w:bCs/>
          <w:sz w:val="28"/>
          <w:szCs w:val="28"/>
        </w:rPr>
      </w:pPr>
      <w:bookmarkStart w:id="9" w:name="_Toc28359001"/>
      <w:bookmarkStart w:id="10" w:name="_Toc35393789"/>
      <w:bookmarkStart w:id="11" w:name="OLE_LINK1"/>
      <w:bookmarkStart w:id="116" w:name="_GoBack"/>
      <w:r>
        <w:rPr>
          <w:rFonts w:hint="eastAsia" w:asciiTheme="minorEastAsia" w:hAnsiTheme="minorEastAsia" w:eastAsiaTheme="minorEastAsia" w:cstheme="minorEastAsia"/>
          <w:b/>
          <w:bCs/>
          <w:sz w:val="28"/>
          <w:szCs w:val="28"/>
          <w:u w:val="single"/>
          <w:lang w:eastAsia="zh-CN"/>
        </w:rPr>
        <w:t>潜山市第一人民医院血透耗材采购项目</w:t>
      </w:r>
      <w:r>
        <w:rPr>
          <w:rFonts w:hint="eastAsia" w:asciiTheme="minorEastAsia" w:hAnsiTheme="minorEastAsia" w:eastAsiaTheme="minorEastAsia" w:cstheme="minorEastAsia"/>
          <w:bCs/>
          <w:sz w:val="28"/>
          <w:szCs w:val="28"/>
        </w:rPr>
        <w:t>招标公告</w:t>
      </w:r>
      <w:bookmarkEnd w:id="9"/>
      <w:bookmarkEnd w:id="10"/>
    </w:p>
    <w:tbl>
      <w:tblPr>
        <w:tblStyle w:val="28"/>
        <w:tblW w:w="101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70" w:type="dxa"/>
            <w:tcBorders>
              <w:top w:val="single" w:color="auto" w:sz="4" w:space="0"/>
              <w:left w:val="single" w:color="auto" w:sz="4" w:space="0"/>
              <w:bottom w:val="single" w:color="auto" w:sz="4" w:space="0"/>
              <w:right w:val="single" w:color="auto" w:sz="4" w:space="0"/>
            </w:tcBorders>
            <w:shd w:val="clear" w:color="auto" w:fill="auto"/>
          </w:tcPr>
          <w:p>
            <w:pPr>
              <w:widowControl/>
              <w:jc w:val="left"/>
              <w:rPr>
                <w:rFonts w:ascii="宋体" w:hAnsi="宋体" w:cs="宋体"/>
                <w:sz w:val="24"/>
              </w:rPr>
            </w:pPr>
            <w:r>
              <w:rPr>
                <w:rFonts w:hint="eastAsia" w:asciiTheme="minorEastAsia" w:hAnsiTheme="minorEastAsia" w:eastAsiaTheme="minorEastAsia" w:cstheme="minorEastAsia"/>
                <w:sz w:val="24"/>
              </w:rPr>
              <w:t> </w:t>
            </w:r>
            <w:r>
              <w:rPr>
                <w:rFonts w:hint="eastAsia" w:ascii="宋体" w:hAnsi="宋体" w:cs="宋体"/>
                <w:sz w:val="24"/>
              </w:rPr>
              <w:t>项目概况</w:t>
            </w:r>
          </w:p>
          <w:p>
            <w:pPr>
              <w:rPr>
                <w:rFonts w:asciiTheme="minorEastAsia" w:hAnsiTheme="minorEastAsia" w:eastAsiaTheme="minorEastAsia" w:cstheme="minorEastAsia"/>
                <w:sz w:val="24"/>
              </w:rPr>
            </w:pPr>
            <w:r>
              <w:rPr>
                <w:rFonts w:hint="eastAsia" w:ascii="宋体" w:hAnsi="宋体" w:cs="宋体"/>
                <w:b/>
                <w:sz w:val="24"/>
                <w:u w:val="single"/>
                <w:lang w:eastAsia="zh-CN"/>
              </w:rPr>
              <w:t>潜山市第一人民医院血透耗材采购项目</w:t>
            </w:r>
            <w:r>
              <w:rPr>
                <w:rFonts w:hint="eastAsia" w:ascii="宋体" w:hAnsi="宋体" w:cs="宋体"/>
                <w:b/>
                <w:sz w:val="24"/>
                <w:u w:val="single"/>
              </w:rPr>
              <w:t xml:space="preserve"> </w:t>
            </w:r>
            <w:r>
              <w:rPr>
                <w:rFonts w:hint="eastAsia" w:ascii="宋体" w:hAnsi="宋体" w:cs="宋体"/>
                <w:sz w:val="24"/>
              </w:rPr>
              <w:t>招标项目的潜在供应商应进行报名。报名成功后领取招标文件及其它资料（含澄清和补充说明等），并于</w:t>
            </w:r>
            <w:r>
              <w:rPr>
                <w:rFonts w:hint="eastAsia" w:ascii="宋体" w:hAnsi="宋体" w:cs="宋体"/>
                <w:b/>
                <w:sz w:val="24"/>
                <w:u w:val="single"/>
              </w:rPr>
              <w:t>202</w:t>
            </w:r>
            <w:r>
              <w:rPr>
                <w:rFonts w:hint="eastAsia" w:ascii="宋体" w:hAnsi="宋体" w:cs="宋体"/>
                <w:b/>
                <w:sz w:val="24"/>
                <w:u w:val="single"/>
                <w:lang w:val="en-US" w:eastAsia="zh-CN"/>
              </w:rPr>
              <w:t>3</w:t>
            </w:r>
            <w:r>
              <w:rPr>
                <w:rFonts w:hint="eastAsia" w:ascii="宋体" w:hAnsi="宋体" w:cs="宋体"/>
                <w:b/>
                <w:sz w:val="24"/>
                <w:u w:val="single"/>
              </w:rPr>
              <w:t>年</w:t>
            </w:r>
            <w:r>
              <w:rPr>
                <w:rFonts w:hint="eastAsia" w:ascii="宋体" w:hAnsi="宋体" w:cs="宋体"/>
                <w:b/>
                <w:sz w:val="24"/>
                <w:u w:val="single"/>
                <w:lang w:val="en-US" w:eastAsia="zh-CN"/>
              </w:rPr>
              <w:t xml:space="preserve"> 4</w:t>
            </w:r>
            <w:r>
              <w:rPr>
                <w:rFonts w:hint="eastAsia" w:ascii="宋体" w:hAnsi="宋体" w:cs="宋体"/>
                <w:b/>
                <w:sz w:val="24"/>
                <w:u w:val="single"/>
              </w:rPr>
              <w:t>月</w:t>
            </w:r>
            <w:r>
              <w:rPr>
                <w:rFonts w:hint="eastAsia" w:ascii="宋体" w:hAnsi="宋体" w:cs="宋体"/>
                <w:b/>
                <w:sz w:val="24"/>
                <w:u w:val="single"/>
                <w:lang w:val="en-US" w:eastAsia="zh-CN"/>
              </w:rPr>
              <w:t xml:space="preserve"> 1</w:t>
            </w:r>
            <w:r>
              <w:rPr>
                <w:rFonts w:hint="eastAsia" w:ascii="宋体" w:hAnsi="宋体" w:cs="宋体"/>
                <w:b/>
                <w:sz w:val="24"/>
                <w:u w:val="single"/>
              </w:rPr>
              <w:t xml:space="preserve">日 </w:t>
            </w:r>
            <w:r>
              <w:rPr>
                <w:rFonts w:hint="eastAsia" w:ascii="宋体" w:hAnsi="宋体" w:cs="宋体"/>
                <w:b/>
                <w:sz w:val="24"/>
                <w:u w:val="single"/>
                <w:lang w:val="en-US" w:eastAsia="zh-CN"/>
              </w:rPr>
              <w:t>9</w:t>
            </w:r>
            <w:r>
              <w:rPr>
                <w:rFonts w:hint="eastAsia" w:ascii="宋体" w:hAnsi="宋体" w:cs="宋体"/>
                <w:b/>
                <w:sz w:val="24"/>
                <w:u w:val="single"/>
              </w:rPr>
              <w:t xml:space="preserve"> 时 </w:t>
            </w:r>
            <w:r>
              <w:rPr>
                <w:rFonts w:hint="eastAsia" w:ascii="宋体" w:hAnsi="宋体" w:cs="宋体"/>
                <w:b/>
                <w:sz w:val="24"/>
                <w:u w:val="single"/>
                <w:lang w:val="en-US" w:eastAsia="zh-CN"/>
              </w:rPr>
              <w:t xml:space="preserve">30 </w:t>
            </w:r>
            <w:r>
              <w:rPr>
                <w:rFonts w:hint="eastAsia" w:ascii="宋体" w:hAnsi="宋体" w:cs="宋体"/>
                <w:b/>
                <w:sz w:val="24"/>
                <w:u w:val="single"/>
              </w:rPr>
              <w:t>分</w:t>
            </w:r>
            <w:r>
              <w:rPr>
                <w:rFonts w:hint="eastAsia" w:ascii="宋体" w:hAnsi="宋体" w:cs="宋体"/>
                <w:sz w:val="24"/>
              </w:rPr>
              <w:t>（北京时间）前递交投标文件。</w:t>
            </w:r>
          </w:p>
        </w:tc>
      </w:tr>
    </w:tbl>
    <w:p>
      <w:pPr>
        <w:rPr>
          <w:rFonts w:asciiTheme="minorEastAsia" w:hAnsiTheme="minorEastAsia" w:eastAsiaTheme="minorEastAsia" w:cstheme="minorEastAsia"/>
          <w:bCs/>
          <w:sz w:val="24"/>
        </w:rPr>
      </w:pPr>
      <w:r>
        <w:rPr>
          <w:rFonts w:hint="eastAsia" w:asciiTheme="minorEastAsia" w:hAnsiTheme="minorEastAsia" w:eastAsiaTheme="minorEastAsia" w:cstheme="minorEastAsia"/>
          <w:sz w:val="24"/>
        </w:rPr>
        <w:t xml:space="preserve"> </w:t>
      </w:r>
      <w:bookmarkStart w:id="12" w:name="_Toc28359079"/>
      <w:bookmarkStart w:id="13" w:name="_Toc35393621"/>
      <w:bookmarkStart w:id="14" w:name="_Toc28359002"/>
      <w:bookmarkStart w:id="15" w:name="_Toc35393790"/>
      <w:bookmarkStart w:id="16" w:name="_Hlk24379207"/>
      <w:r>
        <w:rPr>
          <w:rFonts w:hint="eastAsia" w:asciiTheme="minorEastAsia" w:hAnsiTheme="minorEastAsia" w:eastAsiaTheme="minorEastAsia" w:cstheme="minorEastAsia"/>
          <w:bCs/>
          <w:sz w:val="24"/>
        </w:rPr>
        <w:t>一、项目基本情况</w:t>
      </w:r>
      <w:bookmarkEnd w:id="12"/>
      <w:bookmarkEnd w:id="13"/>
      <w:bookmarkEnd w:id="14"/>
      <w:bookmarkEnd w:id="15"/>
    </w:p>
    <w:bookmarkEnd w:id="11"/>
    <w:p>
      <w:pPr>
        <w:ind w:firstLine="484" w:firstLineChars="202"/>
        <w:rPr>
          <w:rFonts w:hint="default" w:asciiTheme="minorEastAsia" w:hAnsiTheme="minorEastAsia" w:eastAsiaTheme="minorEastAsia" w:cstheme="minorEastAsia"/>
          <w:color w:val="FF0000"/>
          <w:sz w:val="24"/>
          <w:lang w:val="en-US" w:eastAsia="zh-CN"/>
        </w:rPr>
      </w:pPr>
      <w:r>
        <w:rPr>
          <w:rFonts w:hint="eastAsia" w:asciiTheme="minorEastAsia" w:hAnsiTheme="minorEastAsia" w:eastAsiaTheme="minorEastAsia" w:cstheme="minorEastAsia"/>
          <w:sz w:val="24"/>
        </w:rPr>
        <w:t>项目编号：</w:t>
      </w:r>
      <w:r>
        <w:rPr>
          <w:rFonts w:hint="eastAsia" w:eastAsiaTheme="minorEastAsia"/>
          <w:b/>
          <w:sz w:val="24"/>
          <w:lang w:eastAsia="zh-CN"/>
        </w:rPr>
        <w:t>皖TJ-CG22</w:t>
      </w:r>
      <w:r>
        <w:rPr>
          <w:rFonts w:hint="eastAsia" w:eastAsiaTheme="minorEastAsia"/>
          <w:b/>
          <w:sz w:val="24"/>
          <w:lang w:val="en-US" w:eastAsia="zh-CN"/>
        </w:rPr>
        <w:t>3017</w:t>
      </w:r>
    </w:p>
    <w:p>
      <w:pPr>
        <w:ind w:firstLine="484" w:firstLineChars="202"/>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rPr>
        <w:t>项目名称：</w:t>
      </w:r>
      <w:r>
        <w:rPr>
          <w:rFonts w:hint="eastAsia" w:asciiTheme="minorEastAsia" w:hAnsiTheme="minorEastAsia" w:eastAsiaTheme="minorEastAsia" w:cstheme="minorEastAsia"/>
          <w:b/>
          <w:bCs/>
          <w:sz w:val="24"/>
          <w:u w:val="single"/>
          <w:lang w:eastAsia="zh-CN"/>
        </w:rPr>
        <w:t>潜山市第一人民医院血透耗材采购项目</w:t>
      </w:r>
    </w:p>
    <w:bookmarkEnd w:id="16"/>
    <w:p>
      <w:pPr>
        <w:ind w:firstLine="484" w:firstLineChars="20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资金来源：自筹</w:t>
      </w:r>
    </w:p>
    <w:p>
      <w:pPr>
        <w:ind w:firstLine="480" w:firstLineChars="200"/>
        <w:rPr>
          <w:rFonts w:ascii="宋体" w:hAnsi="宋体"/>
          <w:sz w:val="24"/>
        </w:rPr>
      </w:pPr>
      <w:r>
        <w:rPr>
          <w:rFonts w:hint="eastAsia" w:ascii="宋体" w:hAnsi="宋体"/>
          <w:sz w:val="24"/>
        </w:rPr>
        <w:t>最高投标</w:t>
      </w:r>
      <w:r>
        <w:rPr>
          <w:rFonts w:hint="eastAsia" w:ascii="宋体" w:hAnsi="宋体"/>
          <w:sz w:val="24"/>
          <w:lang w:val="en-US" w:eastAsia="zh-CN"/>
        </w:rPr>
        <w:t>限价单价</w:t>
      </w:r>
      <w:r>
        <w:rPr>
          <w:rFonts w:hint="eastAsia" w:ascii="宋体" w:hAnsi="宋体"/>
          <w:sz w:val="24"/>
        </w:rPr>
        <w:t>：</w:t>
      </w:r>
      <w:r>
        <w:rPr>
          <w:rFonts w:hint="eastAsia" w:asciiTheme="minorEastAsia" w:hAnsiTheme="minorEastAsia" w:eastAsiaTheme="minorEastAsia" w:cstheme="minorEastAsia"/>
          <w:sz w:val="24"/>
        </w:rPr>
        <w:t>详见附件1服务需求及技术要求</w:t>
      </w:r>
    </w:p>
    <w:p>
      <w:pPr>
        <w:ind w:firstLine="484" w:firstLineChars="20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采购需求：详见附件1服务需求及技术要求</w:t>
      </w:r>
    </w:p>
    <w:p>
      <w:pPr>
        <w:ind w:firstLine="484" w:firstLineChars="20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标段（包别）划分：一个包</w:t>
      </w:r>
    </w:p>
    <w:p>
      <w:pPr>
        <w:ind w:firstLine="484" w:firstLineChars="20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评标办法： 综合评分法     </w:t>
      </w:r>
    </w:p>
    <w:p>
      <w:pPr>
        <w:autoSpaceDE w:val="0"/>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合同履行期限：</w:t>
      </w:r>
      <w:r>
        <w:rPr>
          <w:rFonts w:hint="eastAsia" w:asciiTheme="minorEastAsia" w:hAnsiTheme="minorEastAsia" w:eastAsiaTheme="minorEastAsia" w:cstheme="minorEastAsia"/>
          <w:sz w:val="24"/>
          <w:lang w:val="en-US" w:eastAsia="zh-CN"/>
        </w:rPr>
        <w:t>一</w:t>
      </w:r>
      <w:r>
        <w:rPr>
          <w:rFonts w:hint="eastAsia" w:asciiTheme="minorEastAsia" w:hAnsiTheme="minorEastAsia" w:eastAsiaTheme="minorEastAsia" w:cstheme="minorEastAsia"/>
          <w:sz w:val="24"/>
        </w:rPr>
        <w:t>年。</w:t>
      </w:r>
    </w:p>
    <w:p>
      <w:pPr>
        <w:ind w:firstLine="484" w:firstLineChars="20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本项目不接受联合体投标。</w:t>
      </w:r>
    </w:p>
    <w:p>
      <w:pPr>
        <w:rPr>
          <w:rFonts w:asciiTheme="minorEastAsia" w:hAnsiTheme="minorEastAsia" w:eastAsiaTheme="minorEastAsia" w:cstheme="minorEastAsia"/>
          <w:bCs/>
          <w:sz w:val="24"/>
        </w:rPr>
      </w:pPr>
      <w:bookmarkStart w:id="17" w:name="_Toc28359003"/>
      <w:bookmarkStart w:id="18" w:name="_Toc35393622"/>
      <w:bookmarkStart w:id="19" w:name="_Toc28359080"/>
      <w:bookmarkStart w:id="20" w:name="_Toc35393791"/>
      <w:r>
        <w:rPr>
          <w:rFonts w:hint="eastAsia" w:asciiTheme="minorEastAsia" w:hAnsiTheme="minorEastAsia" w:eastAsiaTheme="minorEastAsia" w:cstheme="minorEastAsia"/>
          <w:bCs/>
          <w:sz w:val="24"/>
        </w:rPr>
        <w:t>二、申请人的资格要求：</w:t>
      </w:r>
      <w:bookmarkEnd w:id="17"/>
      <w:bookmarkEnd w:id="18"/>
      <w:bookmarkEnd w:id="19"/>
      <w:bookmarkEnd w:id="20"/>
    </w:p>
    <w:p>
      <w:pPr>
        <w:ind w:firstLine="484" w:firstLineChars="20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1.满足《中华人民共和国政府采购法》第二十二条规定；</w:t>
      </w:r>
    </w:p>
    <w:p>
      <w:pPr>
        <w:spacing w:line="420" w:lineRule="exact"/>
        <w:ind w:firstLine="480" w:firstLineChars="200"/>
        <w:rPr>
          <w:rFonts w:asciiTheme="minorEastAsia" w:hAnsiTheme="minorEastAsia" w:eastAsiaTheme="minorEastAsia" w:cstheme="minorEastAsia"/>
          <w:sz w:val="24"/>
        </w:rPr>
      </w:pPr>
      <w:bookmarkStart w:id="21" w:name="_Toc28359081"/>
      <w:bookmarkStart w:id="22" w:name="_Toc28359004"/>
      <w:r>
        <w:rPr>
          <w:rFonts w:hint="eastAsia" w:asciiTheme="minorEastAsia" w:hAnsiTheme="minorEastAsia" w:eastAsiaTheme="minorEastAsia" w:cstheme="minorEastAsia"/>
          <w:sz w:val="24"/>
        </w:rPr>
        <w:t>2.落实政府采购政策需满足的资格要求：/</w:t>
      </w:r>
    </w:p>
    <w:p>
      <w:pPr>
        <w:pStyle w:val="57"/>
        <w:spacing w:after="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3.本项目的特定资格要求：</w:t>
      </w:r>
    </w:p>
    <w:p>
      <w:pPr>
        <w:widowControl/>
        <w:shd w:val="clear" w:color="auto" w:fill="FFFFFF"/>
        <w:spacing w:line="440" w:lineRule="exact"/>
        <w:ind w:firstLine="480" w:firstLineChars="200"/>
        <w:jc w:val="left"/>
        <w:rPr>
          <w:rFonts w:hint="eastAsia" w:ascii="宋体" w:hAnsi="宋体" w:cs="宋体"/>
          <w:color w:val="000000"/>
          <w:kern w:val="0"/>
          <w:sz w:val="24"/>
        </w:rPr>
      </w:pPr>
      <w:bookmarkStart w:id="23" w:name="_Toc35393623"/>
      <w:bookmarkStart w:id="24" w:name="_Toc35393792"/>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1</w:t>
      </w:r>
      <w:r>
        <w:rPr>
          <w:rFonts w:hint="eastAsia" w:ascii="宋体" w:hAnsi="宋体" w:cs="宋体"/>
          <w:color w:val="000000"/>
          <w:kern w:val="0"/>
          <w:sz w:val="24"/>
          <w:lang w:eastAsia="zh-CN"/>
        </w:rPr>
        <w:t>）</w:t>
      </w:r>
      <w:r>
        <w:rPr>
          <w:rFonts w:hint="eastAsia" w:ascii="宋体" w:hAnsi="宋体" w:cs="宋体"/>
          <w:color w:val="000000"/>
          <w:kern w:val="0"/>
          <w:sz w:val="24"/>
        </w:rPr>
        <w:t>具有市场监督管理</w:t>
      </w:r>
      <w:r>
        <w:rPr>
          <w:rFonts w:ascii="宋体" w:hAnsi="宋体" w:cs="宋体"/>
          <w:color w:val="000000"/>
          <w:kern w:val="0"/>
          <w:sz w:val="24"/>
        </w:rPr>
        <w:t>(工商行政管理)部门颁发的营业执照，营业执照注明的经营范围</w:t>
      </w:r>
      <w:r>
        <w:rPr>
          <w:rFonts w:hint="eastAsia" w:ascii="宋体" w:hAnsi="宋体" w:cs="宋体"/>
          <w:color w:val="000000"/>
          <w:kern w:val="0"/>
          <w:sz w:val="24"/>
        </w:rPr>
        <w:t>含有本次采购相关内容。</w:t>
      </w:r>
    </w:p>
    <w:p>
      <w:pPr>
        <w:spacing w:line="360" w:lineRule="auto"/>
        <w:ind w:firstLine="480" w:firstLineChars="200"/>
        <w:rPr>
          <w:rFonts w:asciiTheme="minorEastAsia" w:hAnsiTheme="minorEastAsia" w:eastAsiaTheme="minorEastAsia" w:cstheme="minorEastAsia"/>
          <w:kern w:val="2"/>
          <w:sz w:val="24"/>
          <w:szCs w:val="24"/>
        </w:rPr>
      </w:pPr>
      <w:r>
        <w:rPr>
          <w:rFonts w:hint="eastAsia" w:ascii="宋体" w:hAnsi="宋体"/>
          <w:sz w:val="24"/>
          <w:szCs w:val="28"/>
          <w:lang w:val="en-US" w:eastAsia="zh-CN"/>
        </w:rPr>
        <w:t>（2）</w:t>
      </w:r>
      <w:r>
        <w:rPr>
          <w:rFonts w:hint="eastAsia" w:ascii="宋体" w:hAnsi="宋体"/>
          <w:sz w:val="24"/>
          <w:szCs w:val="28"/>
        </w:rPr>
        <w:t>供应商若为经销商须提供有效的医疗器械经营许可证或备案凭证；供应商若为制造商须提供有效的医疗器械生产许可证或备案凭证。</w:t>
      </w:r>
    </w:p>
    <w:p>
      <w:pPr>
        <w:pStyle w:val="23"/>
        <w:widowControl/>
        <w:numPr>
          <w:ilvl w:val="0"/>
          <w:numId w:val="2"/>
        </w:numPr>
        <w:spacing w:line="500" w:lineRule="atLeast"/>
        <w:ind w:firstLine="420"/>
        <w:jc w:val="both"/>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本项目不接受联合体参与采购活动；</w:t>
      </w:r>
    </w:p>
    <w:bookmarkEnd w:id="21"/>
    <w:bookmarkEnd w:id="22"/>
    <w:bookmarkEnd w:id="23"/>
    <w:bookmarkEnd w:id="24"/>
    <w:p>
      <w:pPr>
        <w:keepNext/>
        <w:keepLines/>
        <w:outlineLvl w:val="1"/>
        <w:rPr>
          <w:rFonts w:ascii="宋体" w:hAnsi="宋体" w:cs="宋体"/>
          <w:b/>
          <w:bCs/>
          <w:sz w:val="24"/>
        </w:rPr>
      </w:pPr>
      <w:bookmarkStart w:id="25" w:name="_Toc68592963"/>
      <w:bookmarkStart w:id="26" w:name="_Toc28359082"/>
      <w:bookmarkStart w:id="27" w:name="_Toc35393793"/>
      <w:bookmarkStart w:id="28" w:name="_Toc35393624"/>
      <w:bookmarkStart w:id="29" w:name="_Toc28359005"/>
      <w:r>
        <w:rPr>
          <w:rFonts w:hint="eastAsia" w:ascii="宋体" w:hAnsi="宋体" w:cs="宋体"/>
          <w:b/>
          <w:bCs/>
          <w:sz w:val="24"/>
        </w:rPr>
        <w:t>三、获取招标文件</w:t>
      </w:r>
      <w:bookmarkEnd w:id="25"/>
    </w:p>
    <w:p>
      <w:pPr>
        <w:ind w:firstLine="540"/>
        <w:rPr>
          <w:rFonts w:ascii="Tahoma" w:hAnsi="Tahoma" w:cs="Tahoma"/>
          <w:kern w:val="0"/>
          <w:sz w:val="24"/>
        </w:rPr>
      </w:pPr>
      <w:r>
        <w:rPr>
          <w:rFonts w:hint="eastAsia" w:ascii="Tahoma" w:hAnsi="Tahoma" w:cs="Tahoma"/>
          <w:kern w:val="0"/>
          <w:sz w:val="24"/>
        </w:rPr>
        <w:t>1、时间：</w:t>
      </w:r>
      <w:r>
        <w:rPr>
          <w:rFonts w:hint="eastAsia" w:ascii="Tahoma" w:hAnsi="Tahoma" w:cs="Tahoma"/>
          <w:b/>
          <w:kern w:val="0"/>
          <w:sz w:val="24"/>
        </w:rPr>
        <w:t>202</w:t>
      </w:r>
      <w:r>
        <w:rPr>
          <w:rFonts w:hint="eastAsia" w:ascii="Tahoma" w:hAnsi="Tahoma" w:cs="Tahoma"/>
          <w:b/>
          <w:kern w:val="0"/>
          <w:sz w:val="24"/>
          <w:lang w:val="en-US" w:eastAsia="zh-CN"/>
        </w:rPr>
        <w:t>3</w:t>
      </w:r>
      <w:r>
        <w:rPr>
          <w:rFonts w:hint="eastAsia" w:ascii="Tahoma" w:hAnsi="Tahoma" w:cs="Tahoma"/>
          <w:b/>
          <w:kern w:val="0"/>
          <w:sz w:val="24"/>
        </w:rPr>
        <w:t>年</w:t>
      </w:r>
      <w:r>
        <w:rPr>
          <w:rFonts w:hint="eastAsia" w:ascii="Tahoma" w:hAnsi="Tahoma" w:cs="Tahoma"/>
          <w:b/>
          <w:kern w:val="0"/>
          <w:sz w:val="24"/>
          <w:u w:val="single"/>
        </w:rPr>
        <w:t xml:space="preserve"> </w:t>
      </w:r>
      <w:r>
        <w:rPr>
          <w:rFonts w:hint="eastAsia" w:ascii="Tahoma" w:hAnsi="Tahoma" w:cs="Tahoma"/>
          <w:b/>
          <w:kern w:val="0"/>
          <w:sz w:val="24"/>
          <w:u w:val="single"/>
          <w:lang w:val="en-US" w:eastAsia="zh-CN"/>
        </w:rPr>
        <w:t xml:space="preserve">3 </w:t>
      </w:r>
      <w:r>
        <w:rPr>
          <w:rFonts w:hint="eastAsia" w:ascii="Tahoma" w:hAnsi="Tahoma" w:cs="Tahoma"/>
          <w:b/>
          <w:kern w:val="0"/>
          <w:sz w:val="24"/>
        </w:rPr>
        <w:t>月</w:t>
      </w:r>
      <w:r>
        <w:rPr>
          <w:rFonts w:hint="eastAsia" w:ascii="Tahoma" w:hAnsi="Tahoma" w:cs="Tahoma"/>
          <w:b/>
          <w:kern w:val="0"/>
          <w:sz w:val="24"/>
          <w:u w:val="single"/>
        </w:rPr>
        <w:t xml:space="preserve"> </w:t>
      </w:r>
      <w:r>
        <w:rPr>
          <w:rFonts w:hint="eastAsia" w:ascii="Tahoma" w:hAnsi="Tahoma" w:cs="Tahoma"/>
          <w:b/>
          <w:kern w:val="0"/>
          <w:sz w:val="24"/>
          <w:u w:val="single"/>
          <w:lang w:val="en-US" w:eastAsia="zh-CN"/>
        </w:rPr>
        <w:t>13</w:t>
      </w:r>
      <w:r>
        <w:rPr>
          <w:rFonts w:hint="eastAsia" w:ascii="Tahoma" w:hAnsi="Tahoma" w:cs="Tahoma"/>
          <w:b/>
          <w:kern w:val="0"/>
          <w:sz w:val="24"/>
        </w:rPr>
        <w:t>日至202</w:t>
      </w:r>
      <w:r>
        <w:rPr>
          <w:rFonts w:hint="eastAsia" w:ascii="Tahoma" w:hAnsi="Tahoma" w:cs="Tahoma"/>
          <w:b/>
          <w:kern w:val="0"/>
          <w:sz w:val="24"/>
          <w:lang w:val="en-US" w:eastAsia="zh-CN"/>
        </w:rPr>
        <w:t>3</w:t>
      </w:r>
      <w:r>
        <w:rPr>
          <w:rFonts w:hint="eastAsia" w:ascii="Tahoma" w:hAnsi="Tahoma" w:cs="Tahoma"/>
          <w:b/>
          <w:kern w:val="0"/>
          <w:sz w:val="24"/>
        </w:rPr>
        <w:t>年</w:t>
      </w:r>
      <w:r>
        <w:rPr>
          <w:rFonts w:hint="eastAsia" w:ascii="Tahoma" w:hAnsi="Tahoma" w:cs="Tahoma"/>
          <w:b/>
          <w:kern w:val="0"/>
          <w:sz w:val="24"/>
          <w:u w:val="single"/>
          <w:lang w:val="en-US" w:eastAsia="zh-CN"/>
        </w:rPr>
        <w:t xml:space="preserve"> 3</w:t>
      </w:r>
      <w:r>
        <w:rPr>
          <w:rFonts w:hint="eastAsia" w:ascii="Tahoma" w:hAnsi="Tahoma" w:cs="Tahoma"/>
          <w:b/>
          <w:kern w:val="0"/>
          <w:sz w:val="24"/>
        </w:rPr>
        <w:t>月</w:t>
      </w:r>
      <w:r>
        <w:rPr>
          <w:rFonts w:hint="eastAsia" w:ascii="Tahoma" w:hAnsi="Tahoma" w:cs="Tahoma"/>
          <w:b/>
          <w:kern w:val="0"/>
          <w:sz w:val="24"/>
          <w:u w:val="single"/>
        </w:rPr>
        <w:t xml:space="preserve"> </w:t>
      </w:r>
      <w:r>
        <w:rPr>
          <w:rFonts w:hint="eastAsia" w:ascii="Tahoma" w:hAnsi="Tahoma" w:cs="Tahoma"/>
          <w:b/>
          <w:kern w:val="0"/>
          <w:sz w:val="24"/>
          <w:u w:val="single"/>
          <w:lang w:val="en-US" w:eastAsia="zh-CN"/>
        </w:rPr>
        <w:t>17</w:t>
      </w:r>
      <w:r>
        <w:rPr>
          <w:rFonts w:hint="eastAsia" w:ascii="Tahoma" w:hAnsi="Tahoma" w:cs="Tahoma"/>
          <w:b/>
          <w:kern w:val="0"/>
          <w:sz w:val="24"/>
        </w:rPr>
        <w:t>日</w:t>
      </w:r>
      <w:r>
        <w:rPr>
          <w:rFonts w:hint="eastAsia" w:ascii="Tahoma" w:hAnsi="Tahoma" w:cs="Tahoma"/>
          <w:kern w:val="0"/>
          <w:sz w:val="24"/>
        </w:rPr>
        <w:t>，每天上午8:00至12:00，下午14:30至17:30（北京时间，法定节假日除外）</w:t>
      </w:r>
    </w:p>
    <w:p>
      <w:pPr>
        <w:ind w:firstLine="540"/>
        <w:rPr>
          <w:rFonts w:ascii="Tahoma" w:hAnsi="Tahoma" w:cs="Tahoma"/>
          <w:kern w:val="0"/>
          <w:sz w:val="24"/>
        </w:rPr>
      </w:pPr>
      <w:r>
        <w:rPr>
          <w:rFonts w:hint="eastAsia" w:ascii="Tahoma" w:hAnsi="Tahoma" w:cs="Tahoma"/>
          <w:kern w:val="0"/>
          <w:sz w:val="24"/>
        </w:rPr>
        <w:t>2、地点：潜山市开发区八一大道与三合路交叉口1幢1号</w:t>
      </w:r>
    </w:p>
    <w:p>
      <w:pPr>
        <w:ind w:firstLine="540"/>
        <w:rPr>
          <w:rFonts w:ascii="Tahoma" w:hAnsi="Tahoma" w:cs="Tahoma"/>
          <w:kern w:val="0"/>
          <w:sz w:val="24"/>
        </w:rPr>
      </w:pPr>
      <w:r>
        <w:rPr>
          <w:rFonts w:hint="eastAsia" w:ascii="Tahoma" w:hAnsi="Tahoma" w:cs="Tahoma"/>
          <w:kern w:val="0"/>
          <w:sz w:val="24"/>
        </w:rPr>
        <w:t>3、方式：经办人</w:t>
      </w:r>
      <w:r>
        <w:rPr>
          <w:kern w:val="0"/>
          <w:sz w:val="24"/>
        </w:rPr>
        <w:t>持</w:t>
      </w:r>
      <w:r>
        <w:rPr>
          <w:rFonts w:hint="eastAsia"/>
          <w:kern w:val="0"/>
          <w:sz w:val="24"/>
        </w:rPr>
        <w:t>报名资料（企业营业执照、法定代表人身份证明或授权委托书、经办人身份证复印件）</w:t>
      </w:r>
      <w:r>
        <w:rPr>
          <w:kern w:val="0"/>
          <w:sz w:val="24"/>
        </w:rPr>
        <w:t>购买招标</w:t>
      </w:r>
      <w:r>
        <w:rPr>
          <w:rFonts w:hint="eastAsia"/>
          <w:kern w:val="0"/>
          <w:sz w:val="24"/>
        </w:rPr>
        <w:t>文件，逾期拒绝办理（</w:t>
      </w:r>
      <w:r>
        <w:fldChar w:fldCharType="begin"/>
      </w:r>
      <w:r>
        <w:instrText xml:space="preserve"> HYPERLINK "mailto:或将上述报名资料扫描件发送至anhuitaijie@outlook.com" </w:instrText>
      </w:r>
      <w:r>
        <w:fldChar w:fldCharType="separate"/>
      </w:r>
      <w:r>
        <w:rPr>
          <w:rFonts w:hint="eastAsia"/>
          <w:kern w:val="0"/>
          <w:sz w:val="24"/>
        </w:rPr>
        <w:t>或将上述报名资料扫描件发送至</w:t>
      </w:r>
      <w:r>
        <w:rPr>
          <w:kern w:val="0"/>
          <w:sz w:val="24"/>
        </w:rPr>
        <w:t>anhuitaijie@outlook.com</w:t>
      </w:r>
      <w:r>
        <w:rPr>
          <w:kern w:val="0"/>
          <w:sz w:val="24"/>
        </w:rPr>
        <w:fldChar w:fldCharType="end"/>
      </w:r>
      <w:r>
        <w:rPr>
          <w:rFonts w:hint="eastAsia"/>
          <w:kern w:val="0"/>
          <w:sz w:val="24"/>
        </w:rPr>
        <w:t>）。</w:t>
      </w:r>
    </w:p>
    <w:p>
      <w:pPr>
        <w:rPr>
          <w:rFonts w:hint="eastAsia" w:eastAsia="宋体" w:asciiTheme="minorEastAsia" w:hAnsiTheme="minorEastAsia" w:cstheme="minorEastAsia"/>
          <w:bCs/>
          <w:sz w:val="24"/>
          <w:lang w:eastAsia="zh-CN"/>
        </w:rPr>
      </w:pPr>
      <w:r>
        <w:rPr>
          <w:rFonts w:hint="eastAsia"/>
          <w:sz w:val="24"/>
        </w:rPr>
        <w:t xml:space="preserve">4、售价：招标文件及相关资料工本费：人民币 </w:t>
      </w:r>
      <w:r>
        <w:rPr>
          <w:rFonts w:hint="eastAsia"/>
          <w:sz w:val="24"/>
          <w:lang w:val="en-US" w:eastAsia="zh-CN"/>
        </w:rPr>
        <w:t>0</w:t>
      </w:r>
      <w:r>
        <w:rPr>
          <w:rFonts w:hint="eastAsia"/>
          <w:sz w:val="24"/>
        </w:rPr>
        <w:t>元/套</w:t>
      </w:r>
      <w:r>
        <w:rPr>
          <w:rFonts w:hint="eastAsia"/>
          <w:sz w:val="24"/>
          <w:lang w:eastAsia="zh-CN"/>
        </w:rPr>
        <w:t>。</w:t>
      </w:r>
    </w:p>
    <w:bookmarkEnd w:id="26"/>
    <w:bookmarkEnd w:id="27"/>
    <w:bookmarkEnd w:id="28"/>
    <w:bookmarkEnd w:id="29"/>
    <w:p>
      <w:pPr>
        <w:keepNext/>
        <w:keepLines/>
        <w:outlineLvl w:val="1"/>
        <w:rPr>
          <w:rFonts w:ascii="宋体" w:hAnsi="宋体" w:cs="宋体"/>
          <w:b/>
          <w:bCs/>
          <w:sz w:val="24"/>
        </w:rPr>
      </w:pPr>
      <w:bookmarkStart w:id="30" w:name="_Toc68592964"/>
      <w:bookmarkStart w:id="31" w:name="_Toc28359084"/>
      <w:bookmarkStart w:id="32" w:name="_Toc35393625"/>
      <w:bookmarkStart w:id="33" w:name="_Toc28359007"/>
      <w:bookmarkStart w:id="34" w:name="_Toc35393794"/>
      <w:r>
        <w:rPr>
          <w:rFonts w:hint="eastAsia" w:ascii="宋体" w:hAnsi="宋体" w:cs="宋体"/>
          <w:b/>
          <w:bCs/>
          <w:sz w:val="24"/>
        </w:rPr>
        <w:t>四、提交投标文件截止时间、开标时间和地点</w:t>
      </w:r>
      <w:bookmarkEnd w:id="30"/>
    </w:p>
    <w:p>
      <w:pPr>
        <w:ind w:firstLine="482" w:firstLineChars="200"/>
        <w:rPr>
          <w:rFonts w:ascii="宋体" w:hAnsi="宋体"/>
          <w:bCs/>
          <w:sz w:val="24"/>
          <w:u w:val="single"/>
        </w:rPr>
      </w:pPr>
      <w:r>
        <w:rPr>
          <w:rFonts w:hint="eastAsia" w:ascii="宋体" w:hAnsi="宋体" w:cs="宋体"/>
          <w:b/>
          <w:sz w:val="24"/>
          <w:u w:val="single"/>
        </w:rPr>
        <w:t>202</w:t>
      </w:r>
      <w:r>
        <w:rPr>
          <w:rFonts w:hint="eastAsia" w:ascii="宋体" w:hAnsi="宋体" w:cs="宋体"/>
          <w:b/>
          <w:sz w:val="24"/>
          <w:u w:val="single"/>
          <w:lang w:val="en-US" w:eastAsia="zh-CN"/>
        </w:rPr>
        <w:t>3</w:t>
      </w:r>
      <w:r>
        <w:rPr>
          <w:rFonts w:hint="eastAsia" w:ascii="宋体" w:hAnsi="宋体" w:cs="宋体"/>
          <w:b/>
          <w:sz w:val="24"/>
          <w:u w:val="single"/>
        </w:rPr>
        <w:t>年</w:t>
      </w:r>
      <w:r>
        <w:rPr>
          <w:rFonts w:hint="eastAsia" w:ascii="宋体" w:hAnsi="宋体" w:cs="宋体"/>
          <w:b/>
          <w:sz w:val="24"/>
          <w:u w:val="single"/>
          <w:lang w:val="en-US" w:eastAsia="zh-CN"/>
        </w:rPr>
        <w:t xml:space="preserve"> 4</w:t>
      </w:r>
      <w:r>
        <w:rPr>
          <w:rFonts w:hint="eastAsia" w:ascii="宋体" w:hAnsi="宋体" w:cs="宋体"/>
          <w:b/>
          <w:sz w:val="24"/>
          <w:u w:val="single"/>
        </w:rPr>
        <w:t xml:space="preserve">月 </w:t>
      </w:r>
      <w:r>
        <w:rPr>
          <w:rFonts w:hint="eastAsia" w:ascii="宋体" w:hAnsi="宋体" w:cs="宋体"/>
          <w:b/>
          <w:sz w:val="24"/>
          <w:u w:val="single"/>
          <w:lang w:val="en-US" w:eastAsia="zh-CN"/>
        </w:rPr>
        <w:t>1</w:t>
      </w:r>
      <w:r>
        <w:rPr>
          <w:rFonts w:hint="eastAsia" w:ascii="宋体" w:hAnsi="宋体" w:cs="宋体"/>
          <w:b/>
          <w:sz w:val="24"/>
          <w:u w:val="single"/>
        </w:rPr>
        <w:t xml:space="preserve">日 </w:t>
      </w:r>
      <w:r>
        <w:rPr>
          <w:rFonts w:hint="eastAsia" w:ascii="宋体" w:hAnsi="宋体" w:cs="宋体"/>
          <w:b/>
          <w:sz w:val="24"/>
          <w:u w:val="single"/>
          <w:lang w:val="en-US" w:eastAsia="zh-CN"/>
        </w:rPr>
        <w:t xml:space="preserve">9 </w:t>
      </w:r>
      <w:r>
        <w:rPr>
          <w:rFonts w:hint="eastAsia" w:ascii="宋体" w:hAnsi="宋体" w:cs="宋体"/>
          <w:b/>
          <w:sz w:val="24"/>
          <w:u w:val="single"/>
        </w:rPr>
        <w:t xml:space="preserve">时 </w:t>
      </w:r>
      <w:r>
        <w:rPr>
          <w:rFonts w:hint="eastAsia" w:ascii="宋体" w:hAnsi="宋体" w:cs="宋体"/>
          <w:b/>
          <w:sz w:val="24"/>
          <w:u w:val="single"/>
          <w:lang w:val="en-US" w:eastAsia="zh-CN"/>
        </w:rPr>
        <w:t xml:space="preserve">30 </w:t>
      </w:r>
      <w:r>
        <w:rPr>
          <w:rFonts w:hint="eastAsia" w:ascii="宋体" w:hAnsi="宋体" w:cs="宋体"/>
          <w:b/>
          <w:sz w:val="24"/>
          <w:u w:val="single"/>
        </w:rPr>
        <w:t>分</w:t>
      </w:r>
      <w:r>
        <w:rPr>
          <w:rFonts w:hint="eastAsia" w:ascii="宋体" w:hAnsi="宋体"/>
          <w:bCs/>
          <w:sz w:val="24"/>
        </w:rPr>
        <w:t>（北京时间）</w:t>
      </w:r>
    </w:p>
    <w:p>
      <w:pPr>
        <w:ind w:firstLine="480" w:firstLineChars="200"/>
        <w:rPr>
          <w:rFonts w:ascii="宋体" w:hAnsi="宋体"/>
          <w:sz w:val="24"/>
        </w:rPr>
      </w:pPr>
      <w:r>
        <w:rPr>
          <w:rFonts w:hint="eastAsia" w:ascii="宋体" w:hAnsi="宋体"/>
          <w:sz w:val="24"/>
        </w:rPr>
        <w:t xml:space="preserve">地点：潜山市开发区八一大道与三合路交叉口1幢1号 </w:t>
      </w:r>
      <w:r>
        <w:rPr>
          <w:rFonts w:ascii="宋体" w:hAnsi="宋体"/>
          <w:sz w:val="24"/>
        </w:rPr>
        <w:t xml:space="preserve">    </w:t>
      </w:r>
    </w:p>
    <w:p>
      <w:pPr>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五、公告期限</w:t>
      </w:r>
      <w:bookmarkEnd w:id="31"/>
      <w:bookmarkEnd w:id="32"/>
      <w:bookmarkEnd w:id="33"/>
      <w:bookmarkEnd w:id="34"/>
    </w:p>
    <w:p>
      <w:pPr>
        <w:ind w:firstLine="484" w:firstLineChars="202"/>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自本公告发布之日起5个工作日。</w:t>
      </w:r>
    </w:p>
    <w:p>
      <w:pPr>
        <w:rPr>
          <w:rFonts w:asciiTheme="minorEastAsia" w:hAnsiTheme="minorEastAsia" w:eastAsiaTheme="minorEastAsia" w:cstheme="minorEastAsia"/>
          <w:bCs/>
          <w:sz w:val="24"/>
        </w:rPr>
      </w:pPr>
      <w:bookmarkStart w:id="35" w:name="_Toc35393795"/>
      <w:bookmarkStart w:id="36" w:name="_Toc35393626"/>
      <w:r>
        <w:rPr>
          <w:rFonts w:hint="eastAsia" w:asciiTheme="minorEastAsia" w:hAnsiTheme="minorEastAsia" w:eastAsiaTheme="minorEastAsia" w:cstheme="minorEastAsia"/>
          <w:bCs/>
          <w:sz w:val="24"/>
        </w:rPr>
        <w:t>六、其他补充事宜</w:t>
      </w:r>
      <w:bookmarkEnd w:id="35"/>
      <w:bookmarkEnd w:id="36"/>
    </w:p>
    <w:p>
      <w:pPr>
        <w:pStyle w:val="45"/>
        <w:spacing w:beforeLines="0" w:after="0"/>
        <w:ind w:firstLine="0" w:firstLineChars="0"/>
        <w:rPr>
          <w:rFonts w:ascii="宋体" w:hAnsi="宋体" w:cs="宋体"/>
          <w:kern w:val="0"/>
          <w:sz w:val="24"/>
        </w:rPr>
      </w:pPr>
      <w:bookmarkStart w:id="37" w:name="_Toc35393796"/>
      <w:bookmarkStart w:id="38" w:name="_Toc35393627"/>
      <w:bookmarkStart w:id="39" w:name="_Toc28359008"/>
      <w:bookmarkStart w:id="40" w:name="_Toc28359085"/>
      <w:r>
        <w:rPr>
          <w:rFonts w:hint="eastAsia" w:ascii="宋体" w:hAnsi="宋体" w:cs="宋体"/>
          <w:kern w:val="0"/>
          <w:sz w:val="24"/>
        </w:rPr>
        <w:t>1.投标申请人的联系人电话(手机)、电子邮箱等通讯方式在招投标过程中必须保持畅通，否则因上述原因造成的后果，责任自负。</w:t>
      </w:r>
    </w:p>
    <w:p>
      <w:pPr>
        <w:pStyle w:val="45"/>
        <w:spacing w:beforeLines="0" w:after="0"/>
        <w:ind w:firstLine="0" w:firstLineChars="0"/>
        <w:rPr>
          <w:rFonts w:ascii="宋体" w:hAnsi="宋体" w:cs="宋体"/>
          <w:kern w:val="0"/>
          <w:sz w:val="24"/>
        </w:rPr>
      </w:pPr>
      <w:r>
        <w:rPr>
          <w:rFonts w:hint="eastAsia" w:ascii="宋体" w:hAnsi="宋体" w:cs="宋体"/>
          <w:kern w:val="0"/>
          <w:sz w:val="24"/>
        </w:rPr>
        <w:t>2.本项目采用纸质招投标方式，仔细阅读招标文件要求。</w:t>
      </w:r>
    </w:p>
    <w:p>
      <w:pPr>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七、对本次招标提出询问，请按以下方式联系。</w:t>
      </w:r>
      <w:bookmarkEnd w:id="37"/>
      <w:bookmarkEnd w:id="38"/>
      <w:bookmarkEnd w:id="39"/>
      <w:bookmarkEnd w:id="40"/>
    </w:p>
    <w:p>
      <w:pPr>
        <w:ind w:firstLine="484" w:firstLineChars="20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1.采购人信息</w:t>
      </w:r>
    </w:p>
    <w:p>
      <w:pPr>
        <w:ind w:firstLine="484" w:firstLineChars="20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名    称：</w:t>
      </w:r>
      <w:r>
        <w:rPr>
          <w:rFonts w:hint="eastAsia" w:asciiTheme="minorEastAsia" w:hAnsiTheme="minorEastAsia" w:eastAsiaTheme="minorEastAsia" w:cstheme="minorEastAsia"/>
          <w:sz w:val="24"/>
          <w:u w:val="single"/>
        </w:rPr>
        <w:t>　　</w:t>
      </w:r>
      <w:r>
        <w:rPr>
          <w:rFonts w:hint="eastAsia" w:asciiTheme="minorEastAsia" w:hAnsiTheme="minorEastAsia" w:eastAsiaTheme="minorEastAsia" w:cstheme="minorEastAsia"/>
          <w:sz w:val="24"/>
          <w:u w:val="single"/>
          <w:lang w:eastAsia="zh-CN"/>
        </w:rPr>
        <w:t>潜山市第一人民医院</w:t>
      </w:r>
      <w:r>
        <w:rPr>
          <w:rFonts w:hint="eastAsia" w:asciiTheme="minorEastAsia" w:hAnsiTheme="minorEastAsia" w:eastAsiaTheme="minorEastAsia" w:cstheme="minorEastAsia"/>
          <w:sz w:val="24"/>
          <w:u w:val="single"/>
        </w:rPr>
        <w:t>　　 　</w:t>
      </w:r>
    </w:p>
    <w:p>
      <w:pPr>
        <w:ind w:firstLine="484" w:firstLineChars="202"/>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地    址：</w:t>
      </w:r>
      <w:r>
        <w:rPr>
          <w:rFonts w:hint="eastAsia" w:asciiTheme="minorEastAsia" w:hAnsiTheme="minorEastAsia" w:eastAsiaTheme="minorEastAsia" w:cstheme="minorEastAsia"/>
          <w:sz w:val="24"/>
          <w:u w:val="single"/>
        </w:rPr>
        <w:t>　　潜山市梅城镇　　 　</w:t>
      </w:r>
    </w:p>
    <w:p>
      <w:pPr>
        <w:ind w:firstLine="484" w:firstLineChars="202"/>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联 系 人：</w:t>
      </w:r>
      <w:r>
        <w:rPr>
          <w:rFonts w:hint="eastAsia" w:asciiTheme="minorEastAsia" w:hAnsiTheme="minorEastAsia" w:eastAsiaTheme="minorEastAsia" w:cstheme="minorEastAsia"/>
          <w:sz w:val="24"/>
          <w:u w:val="single"/>
        </w:rPr>
        <w:t>　　</w:t>
      </w:r>
      <w:r>
        <w:rPr>
          <w:rFonts w:hint="eastAsia" w:asciiTheme="minorEastAsia" w:hAnsiTheme="minorEastAsia" w:eastAsiaTheme="minorEastAsia" w:cstheme="minorEastAsia"/>
          <w:sz w:val="24"/>
          <w:u w:val="single"/>
          <w:lang w:val="en-US" w:eastAsia="zh-CN"/>
        </w:rPr>
        <w:t>金</w:t>
      </w:r>
      <w:r>
        <w:rPr>
          <w:rFonts w:hint="eastAsia" w:asciiTheme="minorEastAsia" w:hAnsiTheme="minorEastAsia" w:eastAsiaTheme="minorEastAsia" w:cstheme="minorEastAsia"/>
          <w:sz w:val="24"/>
          <w:u w:val="single"/>
        </w:rPr>
        <w:t>先生　　　　　</w:t>
      </w:r>
    </w:p>
    <w:p>
      <w:pPr>
        <w:ind w:firstLine="484" w:firstLineChars="202"/>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联系方式：</w:t>
      </w:r>
      <w:r>
        <w:rPr>
          <w:rFonts w:hint="eastAsia" w:asciiTheme="minorEastAsia" w:hAnsiTheme="minorEastAsia" w:eastAsiaTheme="minorEastAsia" w:cstheme="minorEastAsia"/>
          <w:sz w:val="24"/>
          <w:u w:val="single"/>
        </w:rPr>
        <w:t>　　</w:t>
      </w:r>
      <w:r>
        <w:rPr>
          <w:rFonts w:hint="eastAsia" w:asciiTheme="minorEastAsia" w:hAnsiTheme="minorEastAsia" w:eastAsiaTheme="minorEastAsia" w:cstheme="minorEastAsia"/>
          <w:sz w:val="24"/>
          <w:u w:val="single"/>
          <w:lang w:val="en-US" w:eastAsia="zh-CN"/>
        </w:rPr>
        <w:t>13966637208</w:t>
      </w:r>
      <w:r>
        <w:rPr>
          <w:rFonts w:hint="eastAsia" w:asciiTheme="minorEastAsia" w:hAnsiTheme="minorEastAsia" w:eastAsiaTheme="minorEastAsia" w:cstheme="minorEastAsia"/>
          <w:sz w:val="24"/>
          <w:u w:val="single"/>
        </w:rPr>
        <w:t>　　　</w:t>
      </w:r>
      <w:bookmarkStart w:id="41" w:name="_Toc28359009"/>
      <w:bookmarkStart w:id="42" w:name="_Toc28359086"/>
    </w:p>
    <w:p>
      <w:pPr>
        <w:ind w:firstLine="484" w:firstLineChars="20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2.采购代理机构信息</w:t>
      </w:r>
      <w:bookmarkEnd w:id="41"/>
      <w:bookmarkEnd w:id="42"/>
    </w:p>
    <w:p>
      <w:pPr>
        <w:pStyle w:val="57"/>
        <w:spacing w:after="0"/>
        <w:ind w:firstLine="480" w:firstLineChars="200"/>
        <w:rPr>
          <w:sz w:val="24"/>
          <w:szCs w:val="24"/>
        </w:rPr>
      </w:pPr>
      <w:bookmarkStart w:id="43" w:name="_Toc28359010"/>
      <w:bookmarkStart w:id="44" w:name="_Toc28359087"/>
      <w:r>
        <w:rPr>
          <w:rFonts w:hint="eastAsia"/>
          <w:sz w:val="24"/>
          <w:szCs w:val="24"/>
        </w:rPr>
        <w:t xml:space="preserve">名 称： </w:t>
      </w:r>
      <w:r>
        <w:rPr>
          <w:rFonts w:hint="eastAsia"/>
          <w:sz w:val="24"/>
          <w:szCs w:val="24"/>
          <w:u w:val="single"/>
        </w:rPr>
        <w:t>安徽泰杰工程咨询有限公司</w:t>
      </w:r>
    </w:p>
    <w:p>
      <w:pPr>
        <w:widowControl/>
        <w:shd w:val="clear" w:color="auto" w:fill="FFFFFF"/>
        <w:ind w:firstLine="480" w:firstLineChars="200"/>
        <w:jc w:val="left"/>
        <w:rPr>
          <w:rFonts w:ascii="Tahoma" w:hAnsi="Tahoma" w:cs="Tahoma"/>
          <w:kern w:val="0"/>
          <w:sz w:val="24"/>
        </w:rPr>
      </w:pPr>
      <w:r>
        <w:rPr>
          <w:rFonts w:hint="eastAsia" w:ascii="Tahoma" w:hAnsi="Tahoma" w:cs="Tahoma"/>
          <w:kern w:val="0"/>
          <w:sz w:val="24"/>
        </w:rPr>
        <w:t>地 址：</w:t>
      </w:r>
      <w:r>
        <w:rPr>
          <w:rFonts w:hint="eastAsia" w:ascii="Tahoma" w:hAnsi="Tahoma" w:cs="Tahoma"/>
          <w:kern w:val="0"/>
          <w:sz w:val="24"/>
          <w:u w:val="single"/>
        </w:rPr>
        <w:t>潜山市开发区八一大道与三合路交叉口1幢1号</w:t>
      </w:r>
    </w:p>
    <w:p>
      <w:pPr>
        <w:pStyle w:val="74"/>
        <w:ind w:firstLine="480" w:firstLineChars="200"/>
        <w:rPr>
          <w:rFonts w:cs="Tahoma"/>
          <w:kern w:val="0"/>
          <w:szCs w:val="24"/>
        </w:rPr>
      </w:pPr>
      <w:r>
        <w:rPr>
          <w:rFonts w:hint="eastAsia" w:cs="Tahoma"/>
          <w:kern w:val="0"/>
          <w:szCs w:val="24"/>
        </w:rPr>
        <w:t>项目负责人：</w:t>
      </w:r>
      <w:r>
        <w:rPr>
          <w:rFonts w:hint="eastAsia" w:cs="Tahoma"/>
          <w:kern w:val="0"/>
          <w:szCs w:val="24"/>
          <w:u w:val="single"/>
        </w:rPr>
        <w:t>韩可俊      联系方式：13696626788</w:t>
      </w:r>
    </w:p>
    <w:p>
      <w:pPr>
        <w:pStyle w:val="74"/>
        <w:ind w:firstLine="480" w:firstLineChars="200"/>
        <w:rPr>
          <w:rFonts w:cs="Tahoma"/>
          <w:kern w:val="0"/>
          <w:szCs w:val="24"/>
        </w:rPr>
      </w:pPr>
      <w:r>
        <w:rPr>
          <w:rFonts w:hint="eastAsia" w:cs="Tahoma"/>
          <w:kern w:val="0"/>
          <w:szCs w:val="24"/>
        </w:rPr>
        <w:t>招标部联系人：</w:t>
      </w:r>
      <w:r>
        <w:rPr>
          <w:rFonts w:hint="eastAsia" w:cs="Tahoma"/>
          <w:kern w:val="0"/>
          <w:szCs w:val="24"/>
          <w:u w:val="single"/>
        </w:rPr>
        <w:t>熊晗晖    联系方式：0556-8964888</w:t>
      </w:r>
    </w:p>
    <w:p>
      <w:pPr>
        <w:ind w:firstLine="484" w:firstLineChars="202"/>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3.项目联系方式</w:t>
      </w:r>
      <w:bookmarkEnd w:id="43"/>
      <w:bookmarkEnd w:id="44"/>
    </w:p>
    <w:p>
      <w:pPr>
        <w:ind w:firstLine="484" w:firstLineChars="20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项目联系人：</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u w:val="single"/>
          <w:lang w:val="en-US" w:eastAsia="zh-CN"/>
        </w:rPr>
        <w:t>金</w:t>
      </w:r>
      <w:r>
        <w:rPr>
          <w:rFonts w:hint="eastAsia" w:asciiTheme="minorEastAsia" w:hAnsiTheme="minorEastAsia" w:eastAsiaTheme="minorEastAsia" w:cstheme="minorEastAsia"/>
          <w:sz w:val="24"/>
          <w:u w:val="single"/>
        </w:rPr>
        <w:t xml:space="preserve">先生                     </w:t>
      </w:r>
    </w:p>
    <w:p>
      <w:pPr>
        <w:ind w:firstLine="484" w:firstLineChars="202"/>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电　话：</w:t>
      </w:r>
      <w:r>
        <w:rPr>
          <w:rFonts w:hint="eastAsia" w:asciiTheme="minorEastAsia" w:hAnsiTheme="minorEastAsia" w:eastAsiaTheme="minorEastAsia" w:cstheme="minorEastAsia"/>
          <w:sz w:val="24"/>
          <w:u w:val="single"/>
        </w:rPr>
        <w:t>　　　</w:t>
      </w:r>
      <w:r>
        <w:rPr>
          <w:rFonts w:hint="eastAsia" w:asciiTheme="minorEastAsia" w:hAnsiTheme="minorEastAsia" w:eastAsiaTheme="minorEastAsia" w:cstheme="minorEastAsia"/>
          <w:sz w:val="24"/>
          <w:u w:val="single"/>
          <w:lang w:val="en-US" w:eastAsia="zh-CN"/>
        </w:rPr>
        <w:t xml:space="preserve"> 13966637208</w:t>
      </w:r>
      <w:r>
        <w:rPr>
          <w:rFonts w:hint="eastAsia" w:asciiTheme="minorEastAsia" w:hAnsiTheme="minorEastAsia" w:eastAsiaTheme="minorEastAsia" w:cstheme="minorEastAsia"/>
          <w:sz w:val="24"/>
          <w:u w:val="single"/>
        </w:rPr>
        <w:t>　　　　  　　　　　</w:t>
      </w:r>
    </w:p>
    <w:p>
      <w:pPr>
        <w:pStyle w:val="57"/>
        <w:spacing w:after="0"/>
        <w:rPr>
          <w:b/>
          <w:sz w:val="24"/>
          <w:szCs w:val="24"/>
        </w:rPr>
      </w:pPr>
      <w:r>
        <w:rPr>
          <w:rFonts w:hint="eastAsia"/>
          <w:b/>
          <w:sz w:val="24"/>
          <w:szCs w:val="24"/>
        </w:rPr>
        <w:t>八、特别提示</w:t>
      </w:r>
    </w:p>
    <w:p>
      <w:pPr>
        <w:pStyle w:val="57"/>
        <w:spacing w:after="0"/>
        <w:rPr>
          <w:sz w:val="24"/>
          <w:szCs w:val="24"/>
        </w:rPr>
      </w:pPr>
      <w:r>
        <w:rPr>
          <w:rFonts w:hint="eastAsia"/>
          <w:sz w:val="24"/>
          <w:szCs w:val="24"/>
        </w:rPr>
        <w:t>1. 为贯彻落实中央、省、市“扫黑除恶”专项斗争有关文件和会议精神，净化我市公共资源交易环境，对在交易过程中如发现有涉嫌围标、串标、恶意竞标的违法违规人员，依据相关规定，将线索移送市扫黑办。</w:t>
      </w:r>
    </w:p>
    <w:p>
      <w:pPr>
        <w:pStyle w:val="57"/>
        <w:spacing w:after="0"/>
        <w:rPr>
          <w:sz w:val="24"/>
          <w:szCs w:val="24"/>
        </w:rPr>
      </w:pPr>
      <w:r>
        <w:rPr>
          <w:rFonts w:hint="eastAsia"/>
          <w:sz w:val="24"/>
          <w:szCs w:val="24"/>
        </w:rPr>
        <w:t>2. 评审中，评标委员会发现供应商的投标文件中对同类问题表述不一致、前后矛盾、有明显文字和计算错误的内容、有可能不符合招标文件规定等情况需要澄清时，评标委员会应当通过纸质询标函对供应商进行询标，要求供应商进行必要的澄清、说明或补正。</w:t>
      </w:r>
    </w:p>
    <w:p>
      <w:pPr>
        <w:pStyle w:val="57"/>
        <w:spacing w:after="0"/>
        <w:rPr>
          <w:sz w:val="24"/>
          <w:szCs w:val="24"/>
        </w:rPr>
      </w:pPr>
      <w:r>
        <w:rPr>
          <w:rFonts w:hint="eastAsia"/>
          <w:sz w:val="24"/>
          <w:szCs w:val="24"/>
        </w:rPr>
        <w:t xml:space="preserve">     </w:t>
      </w:r>
    </w:p>
    <w:p>
      <w:pPr>
        <w:pStyle w:val="57"/>
        <w:spacing w:after="0"/>
        <w:rPr>
          <w:rFonts w:hint="eastAsia" w:eastAsia="宋体"/>
          <w:sz w:val="24"/>
          <w:szCs w:val="24"/>
          <w:lang w:eastAsia="zh-CN"/>
        </w:rPr>
      </w:pPr>
      <w:r>
        <w:rPr>
          <w:rFonts w:hint="eastAsia"/>
          <w:sz w:val="24"/>
          <w:szCs w:val="24"/>
        </w:rPr>
        <w:t xml:space="preserve">                                                            </w:t>
      </w:r>
      <w:r>
        <w:rPr>
          <w:rFonts w:hint="eastAsia"/>
          <w:sz w:val="24"/>
          <w:szCs w:val="24"/>
          <w:lang w:eastAsia="zh-CN"/>
        </w:rPr>
        <w:t>潜山市第一人民医院</w:t>
      </w:r>
    </w:p>
    <w:p>
      <w:pPr>
        <w:pStyle w:val="57"/>
        <w:spacing w:after="0"/>
        <w:jc w:val="right"/>
        <w:rPr>
          <w:sz w:val="24"/>
          <w:szCs w:val="24"/>
        </w:rPr>
      </w:pPr>
      <w:r>
        <w:rPr>
          <w:rFonts w:hint="eastAsia"/>
          <w:sz w:val="24"/>
          <w:szCs w:val="24"/>
        </w:rPr>
        <w:t>202</w:t>
      </w:r>
      <w:r>
        <w:rPr>
          <w:rFonts w:hint="eastAsia"/>
          <w:sz w:val="24"/>
          <w:szCs w:val="24"/>
          <w:lang w:val="en-US" w:eastAsia="zh-CN"/>
        </w:rPr>
        <w:t>3</w:t>
      </w:r>
      <w:r>
        <w:rPr>
          <w:rFonts w:hint="eastAsia"/>
          <w:sz w:val="24"/>
          <w:szCs w:val="24"/>
        </w:rPr>
        <w:t xml:space="preserve"> 年</w:t>
      </w:r>
      <w:r>
        <w:rPr>
          <w:rFonts w:hint="eastAsia"/>
          <w:sz w:val="24"/>
          <w:szCs w:val="24"/>
          <w:lang w:val="en-US" w:eastAsia="zh-CN"/>
        </w:rPr>
        <w:t xml:space="preserve"> 3</w:t>
      </w:r>
      <w:r>
        <w:rPr>
          <w:rFonts w:hint="eastAsia"/>
          <w:sz w:val="24"/>
          <w:szCs w:val="24"/>
        </w:rPr>
        <w:t xml:space="preserve"> 月</w:t>
      </w:r>
      <w:r>
        <w:rPr>
          <w:rFonts w:hint="eastAsia"/>
          <w:sz w:val="24"/>
          <w:szCs w:val="24"/>
          <w:lang w:val="en-US" w:eastAsia="zh-CN"/>
        </w:rPr>
        <w:t xml:space="preserve"> 13 </w:t>
      </w:r>
      <w:r>
        <w:rPr>
          <w:rFonts w:hint="eastAsia"/>
          <w:sz w:val="24"/>
          <w:szCs w:val="24"/>
        </w:rPr>
        <w:t>日</w:t>
      </w:r>
      <w:bookmarkEnd w:id="116"/>
    </w:p>
    <w:p>
      <w:pPr>
        <w:pStyle w:val="57"/>
        <w:spacing w:after="0"/>
        <w:jc w:val="right"/>
        <w:rPr>
          <w:sz w:val="24"/>
          <w:szCs w:val="24"/>
        </w:rPr>
      </w:pPr>
    </w:p>
    <w:p>
      <w:pPr>
        <w:pStyle w:val="57"/>
        <w:spacing w:line="360" w:lineRule="auto"/>
        <w:rPr>
          <w:sz w:val="24"/>
          <w:szCs w:val="24"/>
        </w:rPr>
      </w:pPr>
    </w:p>
    <w:p>
      <w:pPr>
        <w:pStyle w:val="57"/>
        <w:spacing w:line="360" w:lineRule="auto"/>
        <w:rPr>
          <w:sz w:val="24"/>
          <w:szCs w:val="24"/>
        </w:rPr>
      </w:pPr>
    </w:p>
    <w:p>
      <w:pPr>
        <w:pStyle w:val="57"/>
        <w:spacing w:line="360" w:lineRule="auto"/>
        <w:rPr>
          <w:sz w:val="24"/>
          <w:szCs w:val="24"/>
        </w:rPr>
      </w:pPr>
    </w:p>
    <w:p>
      <w:pPr>
        <w:pStyle w:val="57"/>
        <w:spacing w:line="360" w:lineRule="auto"/>
        <w:rPr>
          <w:sz w:val="24"/>
          <w:szCs w:val="24"/>
        </w:rPr>
      </w:pPr>
    </w:p>
    <w:p>
      <w:pPr>
        <w:pStyle w:val="57"/>
        <w:spacing w:line="360" w:lineRule="auto"/>
        <w:rPr>
          <w:sz w:val="24"/>
          <w:szCs w:val="24"/>
        </w:rPr>
      </w:pPr>
    </w:p>
    <w:p>
      <w:pPr>
        <w:pStyle w:val="57"/>
        <w:spacing w:line="360" w:lineRule="auto"/>
        <w:rPr>
          <w:sz w:val="24"/>
          <w:szCs w:val="24"/>
        </w:rPr>
      </w:pPr>
    </w:p>
    <w:p>
      <w:pPr>
        <w:pStyle w:val="57"/>
        <w:spacing w:line="360" w:lineRule="auto"/>
        <w:rPr>
          <w:sz w:val="24"/>
          <w:szCs w:val="24"/>
        </w:rPr>
      </w:pPr>
    </w:p>
    <w:p>
      <w:pPr>
        <w:pStyle w:val="57"/>
        <w:spacing w:line="360" w:lineRule="auto"/>
        <w:rPr>
          <w:sz w:val="24"/>
          <w:szCs w:val="24"/>
        </w:rPr>
      </w:pPr>
    </w:p>
    <w:p>
      <w:pPr>
        <w:pStyle w:val="57"/>
        <w:spacing w:line="360" w:lineRule="auto"/>
        <w:rPr>
          <w:sz w:val="24"/>
          <w:szCs w:val="24"/>
        </w:rPr>
      </w:pPr>
    </w:p>
    <w:p>
      <w:pPr>
        <w:pStyle w:val="57"/>
        <w:spacing w:line="360" w:lineRule="auto"/>
        <w:rPr>
          <w:sz w:val="24"/>
          <w:szCs w:val="24"/>
        </w:rPr>
      </w:pPr>
    </w:p>
    <w:p>
      <w:pPr>
        <w:pStyle w:val="57"/>
        <w:spacing w:line="360" w:lineRule="auto"/>
        <w:rPr>
          <w:sz w:val="24"/>
          <w:szCs w:val="24"/>
        </w:rPr>
      </w:pPr>
    </w:p>
    <w:p>
      <w:pPr>
        <w:pStyle w:val="57"/>
        <w:spacing w:line="360" w:lineRule="auto"/>
        <w:rPr>
          <w:sz w:val="24"/>
          <w:szCs w:val="24"/>
        </w:rPr>
      </w:pPr>
    </w:p>
    <w:p>
      <w:pPr>
        <w:pStyle w:val="57"/>
        <w:spacing w:line="360" w:lineRule="auto"/>
        <w:rPr>
          <w:sz w:val="24"/>
          <w:szCs w:val="24"/>
        </w:rPr>
      </w:pPr>
    </w:p>
    <w:p>
      <w:pPr>
        <w:pStyle w:val="57"/>
        <w:spacing w:line="360" w:lineRule="auto"/>
        <w:rPr>
          <w:sz w:val="24"/>
          <w:szCs w:val="24"/>
        </w:rPr>
      </w:pPr>
    </w:p>
    <w:p>
      <w:pPr>
        <w:jc w:val="center"/>
        <w:rPr>
          <w:rFonts w:hint="eastAsia"/>
          <w:b/>
          <w:sz w:val="28"/>
          <w:szCs w:val="28"/>
        </w:rPr>
      </w:pPr>
      <w:r>
        <w:rPr>
          <w:rFonts w:hint="eastAsia"/>
          <w:b/>
          <w:sz w:val="28"/>
          <w:szCs w:val="28"/>
          <w:lang w:eastAsia="zh-CN"/>
        </w:rPr>
        <w:t>潜山市第一人民医院血透耗材采购项目</w:t>
      </w:r>
      <w:r>
        <w:rPr>
          <w:rFonts w:hint="eastAsia"/>
          <w:b/>
          <w:sz w:val="28"/>
          <w:szCs w:val="28"/>
        </w:rPr>
        <w:t>招标核心条款及采购需求</w:t>
      </w:r>
    </w:p>
    <w:tbl>
      <w:tblPr>
        <w:tblStyle w:val="28"/>
        <w:tblpPr w:leftFromText="180" w:rightFromText="180" w:vertAnchor="text" w:horzAnchor="margin" w:tblpXSpec="center" w:tblpY="248"/>
        <w:tblW w:w="87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2552"/>
        <w:gridCol w:w="3969"/>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675" w:type="dxa"/>
            <w:noWrap/>
            <w:vAlign w:val="center"/>
          </w:tcPr>
          <w:p>
            <w:pPr>
              <w:jc w:val="center"/>
              <w:rPr>
                <w:rFonts w:ascii="宋体" w:hAnsi="宋体"/>
                <w:b/>
                <w:szCs w:val="21"/>
              </w:rPr>
            </w:pPr>
            <w:r>
              <w:rPr>
                <w:rFonts w:hint="eastAsia" w:ascii="宋体" w:hAnsi="宋体"/>
                <w:b/>
                <w:szCs w:val="21"/>
              </w:rPr>
              <w:t>序号</w:t>
            </w:r>
          </w:p>
        </w:tc>
        <w:tc>
          <w:tcPr>
            <w:tcW w:w="2552" w:type="dxa"/>
            <w:noWrap/>
            <w:vAlign w:val="center"/>
          </w:tcPr>
          <w:p>
            <w:pPr>
              <w:jc w:val="center"/>
              <w:rPr>
                <w:rFonts w:ascii="宋体" w:hAnsi="宋体"/>
                <w:b/>
                <w:szCs w:val="21"/>
              </w:rPr>
            </w:pPr>
            <w:r>
              <w:rPr>
                <w:rFonts w:hint="eastAsia" w:ascii="宋体" w:hAnsi="宋体"/>
                <w:b/>
                <w:szCs w:val="21"/>
              </w:rPr>
              <w:t>产品名称</w:t>
            </w:r>
          </w:p>
        </w:tc>
        <w:tc>
          <w:tcPr>
            <w:tcW w:w="3969" w:type="dxa"/>
            <w:noWrap/>
            <w:vAlign w:val="center"/>
          </w:tcPr>
          <w:p>
            <w:pPr>
              <w:jc w:val="center"/>
              <w:rPr>
                <w:rFonts w:ascii="宋体" w:hAnsi="宋体"/>
                <w:b/>
                <w:szCs w:val="21"/>
              </w:rPr>
            </w:pPr>
            <w:r>
              <w:rPr>
                <w:rFonts w:hint="eastAsia" w:ascii="宋体" w:hAnsi="宋体"/>
                <w:b/>
                <w:szCs w:val="21"/>
              </w:rPr>
              <w:t>技术参数规格要求</w:t>
            </w:r>
          </w:p>
        </w:tc>
        <w:tc>
          <w:tcPr>
            <w:tcW w:w="1559" w:type="dxa"/>
            <w:noWrap/>
            <w:vAlign w:val="center"/>
          </w:tcPr>
          <w:p>
            <w:pPr>
              <w:ind w:firstLine="422" w:firstLineChars="200"/>
              <w:rPr>
                <w:rFonts w:ascii="宋体" w:hAnsi="宋体"/>
                <w:b/>
                <w:szCs w:val="21"/>
              </w:rPr>
            </w:pPr>
            <w:r>
              <w:rPr>
                <w:rFonts w:hint="eastAsia" w:ascii="宋体" w:hAnsi="宋体"/>
                <w:b/>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675" w:type="dxa"/>
            <w:shd w:val="clear" w:color="auto" w:fill="auto"/>
            <w:noWrap/>
            <w:vAlign w:val="center"/>
          </w:tcPr>
          <w:p>
            <w:pPr>
              <w:jc w:val="center"/>
              <w:rPr>
                <w:rFonts w:ascii="宋体" w:hAnsi="宋体"/>
                <w:szCs w:val="21"/>
              </w:rPr>
            </w:pPr>
            <w:r>
              <w:rPr>
                <w:rFonts w:hint="eastAsia" w:ascii="宋体" w:hAnsi="宋体"/>
                <w:szCs w:val="21"/>
              </w:rPr>
              <w:t>1</w:t>
            </w:r>
          </w:p>
        </w:tc>
        <w:tc>
          <w:tcPr>
            <w:tcW w:w="2552" w:type="dxa"/>
            <w:shd w:val="clear" w:color="auto" w:fill="auto"/>
            <w:noWrap/>
            <w:vAlign w:val="center"/>
          </w:tcPr>
          <w:p>
            <w:pPr>
              <w:jc w:val="center"/>
              <w:rPr>
                <w:rFonts w:ascii="宋体" w:hAnsi="宋体"/>
                <w:szCs w:val="21"/>
              </w:rPr>
            </w:pPr>
            <w:r>
              <w:rPr>
                <w:rFonts w:hint="eastAsia" w:ascii="宋体" w:hAnsi="宋体"/>
                <w:szCs w:val="21"/>
              </w:rPr>
              <w:t>血液净化体外循环管路</w:t>
            </w:r>
          </w:p>
        </w:tc>
        <w:tc>
          <w:tcPr>
            <w:tcW w:w="3969" w:type="dxa"/>
            <w:noWrap/>
            <w:vAlign w:val="center"/>
          </w:tcPr>
          <w:p>
            <w:pPr>
              <w:jc w:val="left"/>
              <w:rPr>
                <w:rFonts w:ascii="宋体" w:hAnsi="宋体"/>
                <w:szCs w:val="21"/>
              </w:rPr>
            </w:pPr>
            <w:r>
              <w:rPr>
                <w:rFonts w:hint="eastAsia" w:ascii="宋体" w:hAnsi="宋体"/>
                <w:szCs w:val="21"/>
              </w:rPr>
              <w:t>1、产品材质：医用级PVC原料</w:t>
            </w:r>
          </w:p>
          <w:p>
            <w:pPr>
              <w:jc w:val="left"/>
              <w:rPr>
                <w:rFonts w:ascii="宋体" w:hAnsi="宋体"/>
                <w:szCs w:val="21"/>
              </w:rPr>
            </w:pPr>
            <w:r>
              <w:rPr>
                <w:rFonts w:hint="eastAsia" w:ascii="宋体" w:hAnsi="宋体"/>
                <w:szCs w:val="21"/>
              </w:rPr>
              <w:t>2、灭菌方式：环氧乙烷/</w:t>
            </w:r>
          </w:p>
          <w:p>
            <w:pPr>
              <w:jc w:val="left"/>
              <w:rPr>
                <w:rFonts w:ascii="宋体" w:hAnsi="宋体"/>
                <w:szCs w:val="21"/>
              </w:rPr>
            </w:pPr>
            <w:r>
              <w:rPr>
                <w:rFonts w:hint="eastAsia" w:ascii="宋体" w:hAnsi="宋体"/>
                <w:color w:val="000000" w:themeColor="text1"/>
                <w:szCs w:val="21"/>
              </w:rPr>
              <w:t>★</w:t>
            </w:r>
            <w:r>
              <w:rPr>
                <w:rFonts w:hint="eastAsia" w:ascii="宋体" w:hAnsi="宋体"/>
                <w:szCs w:val="21"/>
              </w:rPr>
              <w:t>3、配置：配备传感器保护罩2个，可同时检测泵收集袋；配备输液器，可进行Y型密闭式循环预冲洗和密闭式回血；前压力与泵后压力；配备三通接口废液</w:t>
            </w:r>
          </w:p>
          <w:p>
            <w:pPr>
              <w:jc w:val="left"/>
              <w:rPr>
                <w:rFonts w:ascii="宋体" w:hAnsi="宋体"/>
                <w:szCs w:val="21"/>
              </w:rPr>
            </w:pPr>
            <w:r>
              <w:rPr>
                <w:rFonts w:hint="eastAsia" w:ascii="宋体" w:hAnsi="宋体"/>
                <w:szCs w:val="21"/>
              </w:rPr>
              <w:t>产品认证：具有欧盟CE认证、ISO13485认证；</w:t>
            </w:r>
          </w:p>
          <w:p>
            <w:pPr>
              <w:jc w:val="left"/>
              <w:rPr>
                <w:rFonts w:ascii="宋体" w:hAnsi="宋体"/>
                <w:szCs w:val="21"/>
              </w:rPr>
            </w:pPr>
            <w:r>
              <w:rPr>
                <w:rFonts w:hint="eastAsia" w:ascii="宋体" w:hAnsi="宋体"/>
                <w:szCs w:val="21"/>
              </w:rPr>
              <w:t xml:space="preserve"> 4、所有配置均需在同一包装内，适用于本院所有仪器</w:t>
            </w:r>
          </w:p>
        </w:tc>
        <w:tc>
          <w:tcPr>
            <w:tcW w:w="1559" w:type="dxa"/>
            <w:noWrap/>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4" w:hRule="atLeast"/>
        </w:trPr>
        <w:tc>
          <w:tcPr>
            <w:tcW w:w="675" w:type="dxa"/>
            <w:shd w:val="clear" w:color="auto" w:fill="auto"/>
            <w:noWrap/>
            <w:vAlign w:val="center"/>
          </w:tcPr>
          <w:p>
            <w:pPr>
              <w:jc w:val="center"/>
              <w:rPr>
                <w:rFonts w:ascii="宋体" w:hAnsi="宋体"/>
                <w:szCs w:val="21"/>
              </w:rPr>
            </w:pPr>
            <w:r>
              <w:rPr>
                <w:rFonts w:hint="eastAsia" w:ascii="宋体" w:hAnsi="宋体"/>
                <w:szCs w:val="21"/>
              </w:rPr>
              <w:t>2</w:t>
            </w:r>
          </w:p>
        </w:tc>
        <w:tc>
          <w:tcPr>
            <w:tcW w:w="2552" w:type="dxa"/>
            <w:shd w:val="clear" w:color="auto" w:fill="auto"/>
            <w:noWrap/>
            <w:vAlign w:val="center"/>
          </w:tcPr>
          <w:p>
            <w:pPr>
              <w:jc w:val="center"/>
              <w:rPr>
                <w:rFonts w:ascii="宋体" w:hAnsi="宋体"/>
                <w:szCs w:val="21"/>
              </w:rPr>
            </w:pPr>
            <w:r>
              <w:rPr>
                <w:rFonts w:hint="eastAsia" w:ascii="宋体" w:hAnsi="宋体"/>
                <w:szCs w:val="21"/>
              </w:rPr>
              <w:t>一次性使用动静脉穿刺针</w:t>
            </w:r>
          </w:p>
        </w:tc>
        <w:tc>
          <w:tcPr>
            <w:tcW w:w="3969" w:type="dxa"/>
            <w:noWrap/>
            <w:vAlign w:val="center"/>
          </w:tcPr>
          <w:p>
            <w:pPr>
              <w:jc w:val="left"/>
              <w:rPr>
                <w:rFonts w:ascii="宋体" w:hAnsi="宋体"/>
                <w:szCs w:val="21"/>
              </w:rPr>
            </w:pPr>
            <w:r>
              <w:rPr>
                <w:rFonts w:hint="eastAsia" w:ascii="宋体" w:hAnsi="宋体"/>
                <w:szCs w:val="21"/>
              </w:rPr>
              <w:t>1.规格：16G，针头长度25mm，旋转翼，主要部件采用医用级高分子材料及不锈钢材料制造。</w:t>
            </w:r>
          </w:p>
          <w:p>
            <w:pPr>
              <w:jc w:val="left"/>
              <w:rPr>
                <w:rFonts w:ascii="宋体" w:hAnsi="宋体"/>
                <w:szCs w:val="21"/>
              </w:rPr>
            </w:pPr>
            <w:r>
              <w:rPr>
                <w:rFonts w:hint="eastAsia" w:ascii="宋体" w:hAnsi="宋体"/>
                <w:szCs w:val="21"/>
              </w:rPr>
              <w:t>2.超薄壁型针管，并经过硅油处理，穿刺时阻力更小</w:t>
            </w:r>
          </w:p>
          <w:p>
            <w:pPr>
              <w:jc w:val="left"/>
              <w:rPr>
                <w:rFonts w:ascii="宋体" w:hAnsi="宋体"/>
                <w:szCs w:val="21"/>
              </w:rPr>
            </w:pPr>
            <w:r>
              <w:rPr>
                <w:rFonts w:hint="eastAsia" w:ascii="宋体" w:hAnsi="宋体"/>
                <w:szCs w:val="21"/>
              </w:rPr>
              <w:t>3.配有防针刺护套，有效防止误伤。</w:t>
            </w:r>
          </w:p>
          <w:p>
            <w:pPr>
              <w:jc w:val="left"/>
              <w:rPr>
                <w:rFonts w:ascii="宋体" w:hAnsi="宋体"/>
                <w:szCs w:val="21"/>
              </w:rPr>
            </w:pPr>
            <w:r>
              <w:rPr>
                <w:rFonts w:hint="eastAsia" w:ascii="宋体" w:hAnsi="宋体"/>
                <w:szCs w:val="21"/>
              </w:rPr>
              <w:t>4.灭菌方式：环氧乙烷灭菌。</w:t>
            </w:r>
          </w:p>
          <w:p>
            <w:pPr>
              <w:jc w:val="left"/>
              <w:rPr>
                <w:rFonts w:ascii="宋体" w:hAnsi="宋体"/>
                <w:szCs w:val="21"/>
              </w:rPr>
            </w:pPr>
            <w:r>
              <w:rPr>
                <w:rFonts w:hint="eastAsia" w:ascii="宋体" w:hAnsi="宋体"/>
                <w:szCs w:val="21"/>
              </w:rPr>
              <w:t>5.产品获得美国510K和欧盟CE认证</w:t>
            </w:r>
          </w:p>
        </w:tc>
        <w:tc>
          <w:tcPr>
            <w:tcW w:w="1559" w:type="dxa"/>
            <w:noWrap/>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675" w:type="dxa"/>
            <w:shd w:val="clear" w:color="auto" w:fill="auto"/>
            <w:noWrap/>
            <w:vAlign w:val="center"/>
          </w:tcPr>
          <w:p>
            <w:pPr>
              <w:jc w:val="center"/>
              <w:rPr>
                <w:rFonts w:ascii="宋体" w:hAnsi="宋体"/>
                <w:szCs w:val="21"/>
              </w:rPr>
            </w:pPr>
            <w:r>
              <w:rPr>
                <w:rFonts w:hint="eastAsia" w:ascii="宋体" w:hAnsi="宋体"/>
                <w:szCs w:val="21"/>
              </w:rPr>
              <w:t>3</w:t>
            </w:r>
          </w:p>
        </w:tc>
        <w:tc>
          <w:tcPr>
            <w:tcW w:w="2552" w:type="dxa"/>
            <w:shd w:val="clear" w:color="auto" w:fill="auto"/>
            <w:noWrap/>
            <w:vAlign w:val="center"/>
          </w:tcPr>
          <w:p>
            <w:pPr>
              <w:jc w:val="center"/>
              <w:rPr>
                <w:rFonts w:ascii="宋体" w:hAnsi="宋体"/>
                <w:szCs w:val="21"/>
              </w:rPr>
            </w:pPr>
            <w:r>
              <w:rPr>
                <w:rFonts w:hint="eastAsia" w:ascii="宋体" w:hAnsi="宋体"/>
                <w:szCs w:val="21"/>
              </w:rPr>
              <w:t>血液透析浓缩物</w:t>
            </w:r>
          </w:p>
          <w:p>
            <w:pPr>
              <w:jc w:val="center"/>
              <w:rPr>
                <w:rFonts w:ascii="宋体" w:hAnsi="宋体"/>
                <w:szCs w:val="21"/>
              </w:rPr>
            </w:pPr>
            <w:r>
              <w:rPr>
                <w:rFonts w:hint="eastAsia" w:ascii="宋体" w:hAnsi="宋体"/>
                <w:szCs w:val="21"/>
              </w:rPr>
              <w:t>（A 液）</w:t>
            </w:r>
          </w:p>
        </w:tc>
        <w:tc>
          <w:tcPr>
            <w:tcW w:w="3969" w:type="dxa"/>
            <w:noWrap/>
            <w:vAlign w:val="center"/>
          </w:tcPr>
          <w:p>
            <w:pPr>
              <w:rPr>
                <w:rFonts w:ascii="宋体" w:hAnsi="宋体"/>
                <w:szCs w:val="21"/>
              </w:rPr>
            </w:pPr>
            <w:r>
              <w:rPr>
                <w:rFonts w:hint="eastAsia" w:ascii="宋体" w:hAnsi="宋体"/>
                <w:szCs w:val="21"/>
              </w:rPr>
              <w:t>1、为减少透析治疗过程中不良反应，细菌内毒素小于0.25EU/ml，优于行业透析液标准；</w:t>
            </w:r>
          </w:p>
          <w:p>
            <w:pPr>
              <w:rPr>
                <w:rFonts w:ascii="宋体" w:hAnsi="宋体"/>
                <w:szCs w:val="21"/>
              </w:rPr>
            </w:pPr>
            <w:r>
              <w:rPr>
                <w:rFonts w:hint="eastAsia" w:ascii="宋体" w:hAnsi="宋体"/>
                <w:color w:val="000000" w:themeColor="text1"/>
                <w:szCs w:val="21"/>
              </w:rPr>
              <w:t>★</w:t>
            </w:r>
            <w:r>
              <w:rPr>
                <w:rFonts w:hint="eastAsia" w:ascii="宋体" w:hAnsi="宋体"/>
                <w:szCs w:val="21"/>
              </w:rPr>
              <w:t>2、能满足个性化透析需求（含钙离子1.25mmol/L、1.5mmol/L、1.75mmol/L，和钙离子1.5的浓度中钾离子分别为2mmol/L和3mmol/L的浓度A液），提供对应技术文件；</w:t>
            </w:r>
          </w:p>
          <w:p>
            <w:pPr>
              <w:rPr>
                <w:rFonts w:ascii="宋体" w:hAnsi="宋体"/>
                <w:szCs w:val="21"/>
              </w:rPr>
            </w:pPr>
            <w:r>
              <w:rPr>
                <w:rFonts w:hint="eastAsia" w:ascii="宋体" w:hAnsi="宋体"/>
                <w:szCs w:val="21"/>
              </w:rPr>
              <w:t>3、血液透析浓缩物的需氧菌总数应不大于100CFU/ml,霉菌和酵母菌总数应不大于10CFU/ml，大肠埃希菌应不得检出；</w:t>
            </w:r>
          </w:p>
          <w:p>
            <w:pPr>
              <w:rPr>
                <w:rFonts w:ascii="宋体" w:hAnsi="宋体"/>
                <w:szCs w:val="21"/>
              </w:rPr>
            </w:pPr>
            <w:r>
              <w:rPr>
                <w:rFonts w:hint="eastAsia" w:ascii="宋体" w:hAnsi="宋体"/>
                <w:szCs w:val="21"/>
              </w:rPr>
              <w:t>4、不溶性微粒状况：本品稀释为透析液后，扣除本底后微粒含量：≥10um微粒不大于12个/ml，≥25um的微粒不大于2个/ml；</w:t>
            </w:r>
          </w:p>
          <w:p>
            <w:pPr>
              <w:rPr>
                <w:rFonts w:ascii="宋体" w:hAnsi="宋体"/>
                <w:szCs w:val="21"/>
              </w:rPr>
            </w:pPr>
            <w:r>
              <w:rPr>
                <w:rFonts w:hint="eastAsia" w:ascii="宋体" w:hAnsi="宋体"/>
                <w:szCs w:val="21"/>
              </w:rPr>
              <w:t>5、采用透析级进口原材料；</w:t>
            </w:r>
            <w:r>
              <w:rPr>
                <w:rFonts w:hint="eastAsia" w:ascii="宋体" w:hAnsi="宋体"/>
                <w:color w:val="FF0000"/>
                <w:szCs w:val="21"/>
              </w:rPr>
              <w:t>（提供证明）。</w:t>
            </w:r>
          </w:p>
          <w:p>
            <w:pPr>
              <w:rPr>
                <w:rFonts w:ascii="宋体" w:hAnsi="宋体"/>
                <w:szCs w:val="21"/>
              </w:rPr>
            </w:pPr>
            <w:r>
              <w:rPr>
                <w:rFonts w:hint="eastAsia" w:ascii="宋体" w:hAnsi="宋体"/>
                <w:szCs w:val="21"/>
              </w:rPr>
              <w:t>6、高标准用水，采用双级反渗透+EDI+超滤制水；</w:t>
            </w:r>
          </w:p>
          <w:p>
            <w:pPr>
              <w:rPr>
                <w:rFonts w:ascii="宋体" w:hAnsi="宋体"/>
                <w:szCs w:val="21"/>
              </w:rPr>
            </w:pPr>
            <w:r>
              <w:rPr>
                <w:rFonts w:hint="eastAsia" w:ascii="宋体" w:hAnsi="宋体"/>
                <w:szCs w:val="21"/>
              </w:rPr>
              <w:t>7、本品通过ISO认证和CE认证；</w:t>
            </w:r>
          </w:p>
          <w:p>
            <w:pPr>
              <w:rPr>
                <w:rFonts w:ascii="宋体" w:hAnsi="宋体"/>
                <w:szCs w:val="21"/>
              </w:rPr>
            </w:pPr>
            <w:r>
              <w:rPr>
                <w:rFonts w:hint="eastAsia" w:ascii="宋体" w:hAnsi="宋体"/>
                <w:szCs w:val="21"/>
              </w:rPr>
              <w:t>8、A液每桶10L，均为二人份。</w:t>
            </w:r>
          </w:p>
          <w:p>
            <w:pPr>
              <w:rPr>
                <w:rFonts w:ascii="宋体" w:hAnsi="宋体"/>
                <w:szCs w:val="21"/>
              </w:rPr>
            </w:pPr>
          </w:p>
        </w:tc>
        <w:tc>
          <w:tcPr>
            <w:tcW w:w="1559" w:type="dxa"/>
            <w:noWrap/>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675" w:type="dxa"/>
            <w:shd w:val="clear" w:color="auto" w:fill="auto"/>
            <w:noWrap/>
            <w:vAlign w:val="center"/>
          </w:tcPr>
          <w:p>
            <w:pPr>
              <w:jc w:val="center"/>
              <w:rPr>
                <w:rFonts w:ascii="宋体" w:hAnsi="宋体"/>
                <w:szCs w:val="21"/>
              </w:rPr>
            </w:pPr>
            <w:r>
              <w:rPr>
                <w:rFonts w:hint="eastAsia" w:ascii="宋体" w:hAnsi="宋体"/>
                <w:szCs w:val="21"/>
              </w:rPr>
              <w:t>4</w:t>
            </w:r>
          </w:p>
        </w:tc>
        <w:tc>
          <w:tcPr>
            <w:tcW w:w="2552" w:type="dxa"/>
            <w:shd w:val="clear" w:color="auto" w:fill="auto"/>
            <w:noWrap/>
            <w:vAlign w:val="center"/>
          </w:tcPr>
          <w:p>
            <w:pPr>
              <w:jc w:val="center"/>
              <w:rPr>
                <w:rFonts w:ascii="宋体" w:hAnsi="宋体"/>
                <w:szCs w:val="21"/>
              </w:rPr>
            </w:pPr>
            <w:r>
              <w:rPr>
                <w:rFonts w:hint="eastAsia" w:ascii="宋体" w:hAnsi="宋体"/>
                <w:szCs w:val="21"/>
              </w:rPr>
              <w:t>B干粉袋、B干粉桶</w:t>
            </w:r>
          </w:p>
        </w:tc>
        <w:tc>
          <w:tcPr>
            <w:tcW w:w="3969" w:type="dxa"/>
            <w:noWrap/>
            <w:vAlign w:val="center"/>
          </w:tcPr>
          <w:p>
            <w:pPr>
              <w:jc w:val="left"/>
              <w:rPr>
                <w:rFonts w:ascii="宋体" w:hAnsi="宋体"/>
                <w:szCs w:val="21"/>
              </w:rPr>
            </w:pPr>
            <w:r>
              <w:rPr>
                <w:rFonts w:hint="eastAsia" w:ascii="宋体" w:hAnsi="宋体"/>
                <w:color w:val="000000" w:themeColor="text1"/>
                <w:szCs w:val="21"/>
              </w:rPr>
              <w:t>★</w:t>
            </w:r>
            <w:r>
              <w:rPr>
                <w:rFonts w:hint="eastAsia" w:ascii="宋体" w:hAnsi="宋体"/>
                <w:szCs w:val="21"/>
              </w:rPr>
              <w:t>1、干粉袋、干粉桶与A液为同一品牌。</w:t>
            </w:r>
          </w:p>
          <w:p>
            <w:pPr>
              <w:jc w:val="left"/>
              <w:rPr>
                <w:rFonts w:ascii="宋体" w:hAnsi="宋体"/>
                <w:color w:val="FF0000"/>
                <w:szCs w:val="21"/>
              </w:rPr>
            </w:pPr>
            <w:r>
              <w:rPr>
                <w:rFonts w:hint="eastAsia" w:ascii="宋体" w:hAnsi="宋体"/>
                <w:szCs w:val="21"/>
              </w:rPr>
              <w:t>2、规格：干粉桶650g-680g/支，</w:t>
            </w:r>
          </w:p>
          <w:p>
            <w:pPr>
              <w:jc w:val="left"/>
              <w:rPr>
                <w:rFonts w:ascii="宋体" w:hAnsi="宋体"/>
                <w:color w:val="000000" w:themeColor="text1"/>
                <w:szCs w:val="21"/>
              </w:rPr>
            </w:pPr>
            <w:r>
              <w:rPr>
                <w:rFonts w:hint="eastAsia" w:ascii="宋体" w:hAnsi="宋体"/>
                <w:color w:val="000000" w:themeColor="text1"/>
                <w:szCs w:val="21"/>
              </w:rPr>
              <w:t>3、1、为了减少透析治疗过程中不良反应，细菌内毒素小于0.125EU/ml，优于行业透析液标准；                                      ★4、采用进口透析专用级碳酸氢钠；</w:t>
            </w:r>
          </w:p>
          <w:p>
            <w:pPr>
              <w:jc w:val="left"/>
              <w:rPr>
                <w:rFonts w:ascii="宋体" w:hAnsi="宋体"/>
                <w:color w:val="000000" w:themeColor="text1"/>
                <w:szCs w:val="21"/>
              </w:rPr>
            </w:pPr>
            <w:r>
              <w:rPr>
                <w:rFonts w:hint="eastAsia" w:ascii="宋体" w:hAnsi="宋体"/>
                <w:color w:val="000000" w:themeColor="text1"/>
                <w:szCs w:val="21"/>
              </w:rPr>
              <w:t>5、本品通过ISO认证和CE认证；</w:t>
            </w:r>
          </w:p>
          <w:p>
            <w:pPr>
              <w:jc w:val="left"/>
              <w:rPr>
                <w:rFonts w:ascii="宋体" w:hAnsi="宋体"/>
                <w:color w:val="000000" w:themeColor="text1"/>
                <w:szCs w:val="21"/>
              </w:rPr>
            </w:pPr>
            <w:r>
              <w:rPr>
                <w:rFonts w:hint="eastAsia" w:ascii="宋体" w:hAnsi="宋体"/>
                <w:color w:val="000000" w:themeColor="text1"/>
                <w:szCs w:val="21"/>
              </w:rPr>
              <w:t>6、血液透析浓缩物的需氧菌总数应不大于100CFU/ml,霉菌和酵母菌总数应不大于10CFU/ml，大肠埃希菌应不得检出；</w:t>
            </w:r>
          </w:p>
          <w:p>
            <w:pPr>
              <w:jc w:val="left"/>
              <w:rPr>
                <w:rFonts w:ascii="宋体" w:hAnsi="宋体"/>
                <w:color w:val="FF0000"/>
                <w:szCs w:val="21"/>
              </w:rPr>
            </w:pPr>
            <w:r>
              <w:rPr>
                <w:rFonts w:hint="eastAsia" w:ascii="宋体" w:hAnsi="宋体"/>
                <w:color w:val="000000" w:themeColor="text1"/>
                <w:szCs w:val="21"/>
              </w:rPr>
              <w:t>7、不溶性微粒状况：本品稀释为透析液后，扣除本底后微粒含量：≥10um微粒不大于25个/ml，≥25um的微粒不大于3个/ml；</w:t>
            </w:r>
          </w:p>
        </w:tc>
        <w:tc>
          <w:tcPr>
            <w:tcW w:w="1559" w:type="dxa"/>
            <w:noWrap/>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675" w:type="dxa"/>
            <w:shd w:val="clear" w:color="auto" w:fill="auto"/>
            <w:noWrap/>
            <w:vAlign w:val="center"/>
          </w:tcPr>
          <w:p>
            <w:pPr>
              <w:jc w:val="center"/>
              <w:rPr>
                <w:rFonts w:ascii="宋体" w:hAnsi="宋体"/>
                <w:szCs w:val="21"/>
              </w:rPr>
            </w:pPr>
            <w:r>
              <w:rPr>
                <w:rFonts w:hint="eastAsia" w:ascii="宋体" w:hAnsi="宋体"/>
                <w:szCs w:val="21"/>
              </w:rPr>
              <w:t>5</w:t>
            </w:r>
          </w:p>
        </w:tc>
        <w:tc>
          <w:tcPr>
            <w:tcW w:w="2552" w:type="dxa"/>
            <w:shd w:val="clear" w:color="auto" w:fill="auto"/>
            <w:noWrap/>
            <w:vAlign w:val="center"/>
          </w:tcPr>
          <w:p>
            <w:pPr>
              <w:jc w:val="center"/>
              <w:rPr>
                <w:rFonts w:ascii="宋体" w:hAnsi="宋体"/>
                <w:szCs w:val="21"/>
              </w:rPr>
            </w:pPr>
            <w:r>
              <w:rPr>
                <w:rFonts w:hint="eastAsia" w:ascii="宋体" w:hAnsi="宋体"/>
                <w:szCs w:val="21"/>
              </w:rPr>
              <w:t>护理包</w:t>
            </w:r>
          </w:p>
        </w:tc>
        <w:tc>
          <w:tcPr>
            <w:tcW w:w="3969" w:type="dxa"/>
            <w:noWrap/>
            <w:vAlign w:val="center"/>
          </w:tcPr>
          <w:p>
            <w:pPr>
              <w:pStyle w:val="67"/>
              <w:numPr>
                <w:ilvl w:val="0"/>
                <w:numId w:val="3"/>
              </w:numPr>
              <w:ind w:firstLineChars="0"/>
              <w:jc w:val="left"/>
              <w:rPr>
                <w:rFonts w:ascii="宋体" w:hAnsi="宋体"/>
                <w:szCs w:val="21"/>
              </w:rPr>
            </w:pPr>
            <w:r>
              <w:rPr>
                <w:rFonts w:hint="eastAsia" w:ascii="宋体" w:hAnsi="宋体"/>
                <w:szCs w:val="21"/>
              </w:rPr>
              <w:t>配置：常规方盘1个、胶贴（5.4×14，每片3条）2片，干棉球（1克）4颗，碘伏棉球（10颗/袋）1袋、带包装检查手套1副、不带包装检查手套1副、纸复膜绿色治疗巾1条、创口贴2片。</w:t>
            </w:r>
          </w:p>
          <w:p>
            <w:pPr>
              <w:jc w:val="left"/>
              <w:rPr>
                <w:rFonts w:ascii="宋体" w:hAnsi="宋体"/>
                <w:szCs w:val="21"/>
              </w:rPr>
            </w:pPr>
          </w:p>
        </w:tc>
        <w:tc>
          <w:tcPr>
            <w:tcW w:w="1559" w:type="dxa"/>
            <w:noWrap/>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675" w:type="dxa"/>
            <w:shd w:val="clear" w:color="auto" w:fill="auto"/>
            <w:noWrap/>
            <w:vAlign w:val="center"/>
          </w:tcPr>
          <w:p>
            <w:pPr>
              <w:jc w:val="left"/>
              <w:rPr>
                <w:rFonts w:ascii="宋体" w:hAnsi="宋体"/>
                <w:color w:val="000000" w:themeColor="text1"/>
                <w:szCs w:val="21"/>
              </w:rPr>
            </w:pPr>
            <w:r>
              <w:rPr>
                <w:rFonts w:hint="eastAsia" w:ascii="宋体" w:hAnsi="宋体"/>
                <w:color w:val="000000" w:themeColor="text1"/>
                <w:szCs w:val="21"/>
              </w:rPr>
              <w:t>6</w:t>
            </w:r>
          </w:p>
        </w:tc>
        <w:tc>
          <w:tcPr>
            <w:tcW w:w="2552" w:type="dxa"/>
            <w:shd w:val="clear" w:color="auto" w:fill="auto"/>
            <w:noWrap/>
            <w:vAlign w:val="center"/>
          </w:tcPr>
          <w:p>
            <w:pPr>
              <w:jc w:val="left"/>
              <w:rPr>
                <w:rFonts w:ascii="宋体" w:hAnsi="宋体"/>
                <w:color w:val="000000" w:themeColor="text1"/>
                <w:szCs w:val="21"/>
              </w:rPr>
            </w:pPr>
            <w:r>
              <w:rPr>
                <w:rFonts w:ascii="宋体" w:hAnsi="宋体"/>
                <w:color w:val="000000" w:themeColor="text1"/>
                <w:szCs w:val="21"/>
              </w:rPr>
              <w:t>低通量透析器</w:t>
            </w:r>
            <w:r>
              <w:rPr>
                <w:rFonts w:hint="eastAsia" w:ascii="宋体" w:hAnsi="宋体"/>
                <w:color w:val="000000" w:themeColor="text1"/>
                <w:szCs w:val="21"/>
              </w:rPr>
              <w:t>：</w:t>
            </w:r>
            <w:r>
              <w:rPr>
                <w:rFonts w:ascii="宋体" w:hAnsi="宋体"/>
                <w:color w:val="000000" w:themeColor="text1"/>
                <w:szCs w:val="21"/>
              </w:rPr>
              <w:t>规格</w:t>
            </w:r>
            <w:r>
              <w:rPr>
                <w:rFonts w:hint="eastAsia" w:ascii="宋体" w:hAnsi="宋体"/>
                <w:color w:val="000000" w:themeColor="text1"/>
                <w:szCs w:val="21"/>
              </w:rPr>
              <w:t>1</w:t>
            </w:r>
          </w:p>
        </w:tc>
        <w:tc>
          <w:tcPr>
            <w:tcW w:w="3969" w:type="dxa"/>
            <w:noWrap/>
            <w:vAlign w:val="center"/>
          </w:tcPr>
          <w:p>
            <w:pPr>
              <w:jc w:val="left"/>
              <w:rPr>
                <w:rFonts w:ascii="宋体" w:hAnsi="宋体"/>
                <w:color w:val="000000" w:themeColor="text1"/>
                <w:szCs w:val="21"/>
              </w:rPr>
            </w:pPr>
            <w:r>
              <w:rPr>
                <w:rFonts w:hint="eastAsia" w:ascii="宋体" w:hAnsi="宋体"/>
                <w:color w:val="000000" w:themeColor="text1"/>
                <w:szCs w:val="21"/>
              </w:rPr>
              <w:t>★1：膜材料：聚砜膜纤维</w:t>
            </w:r>
          </w:p>
          <w:p>
            <w:pPr>
              <w:jc w:val="left"/>
              <w:rPr>
                <w:rFonts w:ascii="宋体" w:hAnsi="宋体"/>
                <w:color w:val="000000" w:themeColor="text1"/>
                <w:szCs w:val="21"/>
              </w:rPr>
            </w:pPr>
            <w:r>
              <w:rPr>
                <w:rFonts w:hint="eastAsia" w:ascii="宋体" w:hAnsi="宋体"/>
                <w:color w:val="000000" w:themeColor="text1"/>
                <w:szCs w:val="21"/>
              </w:rPr>
              <w:t>2：保存方式：干膜保存</w:t>
            </w:r>
          </w:p>
          <w:p>
            <w:pPr>
              <w:jc w:val="left"/>
              <w:rPr>
                <w:rFonts w:ascii="宋体" w:hAnsi="宋体"/>
                <w:color w:val="000000" w:themeColor="text1"/>
                <w:szCs w:val="21"/>
              </w:rPr>
            </w:pPr>
            <w:r>
              <w:rPr>
                <w:rFonts w:hint="eastAsia" w:ascii="宋体" w:hAnsi="宋体"/>
                <w:color w:val="000000" w:themeColor="text1"/>
                <w:szCs w:val="21"/>
              </w:rPr>
              <w:t>3：有效膜面积≥ 1.8㎡。</w:t>
            </w:r>
          </w:p>
          <w:p>
            <w:pPr>
              <w:jc w:val="left"/>
              <w:rPr>
                <w:rFonts w:ascii="宋体" w:hAnsi="宋体"/>
                <w:color w:val="000000" w:themeColor="text1"/>
                <w:szCs w:val="21"/>
              </w:rPr>
            </w:pPr>
            <w:r>
              <w:rPr>
                <w:rFonts w:hint="eastAsia" w:ascii="宋体" w:hAnsi="宋体"/>
                <w:color w:val="000000" w:themeColor="text1"/>
                <w:szCs w:val="21"/>
              </w:rPr>
              <w:t>★4：超滤系数：≥18ml/h.mmH</w:t>
            </w:r>
          </w:p>
          <w:p>
            <w:pPr>
              <w:jc w:val="left"/>
              <w:rPr>
                <w:rFonts w:ascii="宋体" w:hAnsi="宋体"/>
                <w:color w:val="000000" w:themeColor="text1"/>
                <w:szCs w:val="21"/>
              </w:rPr>
            </w:pPr>
            <w:r>
              <w:rPr>
                <w:rFonts w:hint="eastAsia" w:ascii="宋体" w:hAnsi="宋体"/>
                <w:color w:val="000000" w:themeColor="text1"/>
                <w:szCs w:val="21"/>
              </w:rPr>
              <w:t>清除率（测试条件：QB=200ml/min）</w:t>
            </w:r>
          </w:p>
          <w:p>
            <w:pPr>
              <w:jc w:val="left"/>
              <w:rPr>
                <w:rFonts w:ascii="宋体" w:hAnsi="宋体"/>
                <w:color w:val="000000" w:themeColor="text1"/>
                <w:szCs w:val="21"/>
              </w:rPr>
            </w:pPr>
            <w:r>
              <w:rPr>
                <w:rFonts w:hint="eastAsia" w:ascii="宋体" w:hAnsi="宋体"/>
                <w:color w:val="000000" w:themeColor="text1"/>
                <w:szCs w:val="21"/>
              </w:rPr>
              <w:t>5：尿素清除率≥190</w:t>
            </w:r>
          </w:p>
          <w:p>
            <w:pPr>
              <w:jc w:val="left"/>
              <w:rPr>
                <w:rFonts w:ascii="宋体" w:hAnsi="宋体"/>
                <w:color w:val="000000" w:themeColor="text1"/>
                <w:szCs w:val="21"/>
              </w:rPr>
            </w:pPr>
            <w:r>
              <w:rPr>
                <w:rFonts w:hint="eastAsia" w:ascii="宋体" w:hAnsi="宋体"/>
                <w:color w:val="000000" w:themeColor="text1"/>
                <w:szCs w:val="21"/>
              </w:rPr>
              <w:t>6：肌酐清除率:≥177</w:t>
            </w:r>
          </w:p>
          <w:p>
            <w:pPr>
              <w:jc w:val="left"/>
              <w:rPr>
                <w:rFonts w:ascii="宋体" w:hAnsi="宋体"/>
                <w:color w:val="000000" w:themeColor="text1"/>
                <w:szCs w:val="21"/>
              </w:rPr>
            </w:pPr>
            <w:r>
              <w:rPr>
                <w:rFonts w:hint="eastAsia" w:ascii="宋体" w:hAnsi="宋体"/>
                <w:color w:val="000000" w:themeColor="text1"/>
                <w:szCs w:val="21"/>
              </w:rPr>
              <w:t>7：磷酸盐清除率≥159</w:t>
            </w:r>
          </w:p>
          <w:p>
            <w:pPr>
              <w:jc w:val="left"/>
              <w:rPr>
                <w:rFonts w:ascii="宋体" w:hAnsi="宋体"/>
                <w:color w:val="000000" w:themeColor="text1"/>
                <w:szCs w:val="21"/>
              </w:rPr>
            </w:pPr>
            <w:r>
              <w:rPr>
                <w:rFonts w:hint="eastAsia" w:ascii="宋体" w:hAnsi="宋体"/>
                <w:color w:val="000000" w:themeColor="text1"/>
                <w:szCs w:val="21"/>
              </w:rPr>
              <w:t>8：维生素B12 清除率：≥106</w:t>
            </w:r>
          </w:p>
          <w:p>
            <w:pPr>
              <w:jc w:val="left"/>
              <w:rPr>
                <w:rFonts w:ascii="宋体" w:hAnsi="宋体"/>
                <w:color w:val="000000" w:themeColor="text1"/>
                <w:szCs w:val="21"/>
              </w:rPr>
            </w:pPr>
            <w:r>
              <w:rPr>
                <w:rFonts w:hint="eastAsia" w:ascii="宋体" w:hAnsi="宋体"/>
                <w:color w:val="000000" w:themeColor="text1"/>
                <w:szCs w:val="21"/>
              </w:rPr>
              <w:t>★11：灭菌方式：蒸汽消毒或电子束</w:t>
            </w:r>
          </w:p>
        </w:tc>
        <w:tc>
          <w:tcPr>
            <w:tcW w:w="1559" w:type="dxa"/>
            <w:noWrap/>
            <w:vAlign w:val="center"/>
          </w:tcPr>
          <w:p>
            <w:pPr>
              <w:jc w:val="left"/>
              <w:rPr>
                <w:rFonts w:ascii="宋体" w:hAnsi="宋体"/>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675" w:type="dxa"/>
            <w:shd w:val="clear" w:color="auto" w:fill="auto"/>
            <w:noWrap/>
            <w:vAlign w:val="center"/>
          </w:tcPr>
          <w:p>
            <w:pPr>
              <w:jc w:val="left"/>
              <w:rPr>
                <w:rFonts w:ascii="宋体" w:hAnsi="宋体"/>
                <w:color w:val="000000" w:themeColor="text1"/>
                <w:szCs w:val="21"/>
              </w:rPr>
            </w:pPr>
            <w:r>
              <w:rPr>
                <w:rFonts w:hint="eastAsia" w:ascii="宋体" w:hAnsi="宋体"/>
                <w:color w:val="000000" w:themeColor="text1"/>
                <w:szCs w:val="21"/>
              </w:rPr>
              <w:t>7</w:t>
            </w:r>
          </w:p>
        </w:tc>
        <w:tc>
          <w:tcPr>
            <w:tcW w:w="2552" w:type="dxa"/>
            <w:shd w:val="clear" w:color="auto" w:fill="auto"/>
            <w:noWrap/>
            <w:vAlign w:val="center"/>
          </w:tcPr>
          <w:p>
            <w:pPr>
              <w:jc w:val="left"/>
              <w:rPr>
                <w:rFonts w:ascii="宋体" w:hAnsi="宋体"/>
                <w:color w:val="000000" w:themeColor="text1"/>
                <w:szCs w:val="21"/>
              </w:rPr>
            </w:pPr>
            <w:r>
              <w:rPr>
                <w:rFonts w:ascii="宋体" w:hAnsi="宋体"/>
                <w:color w:val="000000" w:themeColor="text1"/>
                <w:szCs w:val="21"/>
              </w:rPr>
              <w:t>低通通透析器</w:t>
            </w:r>
            <w:r>
              <w:rPr>
                <w:rFonts w:hint="eastAsia" w:ascii="宋体" w:hAnsi="宋体"/>
                <w:color w:val="000000" w:themeColor="text1"/>
                <w:szCs w:val="21"/>
              </w:rPr>
              <w:t>：</w:t>
            </w:r>
            <w:r>
              <w:rPr>
                <w:rFonts w:ascii="宋体" w:hAnsi="宋体"/>
                <w:color w:val="000000" w:themeColor="text1"/>
                <w:szCs w:val="21"/>
              </w:rPr>
              <w:t>规格</w:t>
            </w:r>
            <w:r>
              <w:rPr>
                <w:rFonts w:hint="eastAsia" w:ascii="宋体" w:hAnsi="宋体"/>
                <w:color w:val="000000" w:themeColor="text1"/>
                <w:szCs w:val="21"/>
              </w:rPr>
              <w:t>2</w:t>
            </w:r>
          </w:p>
        </w:tc>
        <w:tc>
          <w:tcPr>
            <w:tcW w:w="3969" w:type="dxa"/>
            <w:noWrap/>
            <w:vAlign w:val="center"/>
          </w:tcPr>
          <w:p>
            <w:pPr>
              <w:jc w:val="left"/>
              <w:rPr>
                <w:rFonts w:ascii="宋体" w:hAnsi="宋体"/>
                <w:color w:val="000000" w:themeColor="text1"/>
                <w:szCs w:val="21"/>
              </w:rPr>
            </w:pPr>
            <w:r>
              <w:rPr>
                <w:rFonts w:hint="eastAsia" w:ascii="宋体" w:hAnsi="宋体"/>
                <w:color w:val="000000" w:themeColor="text1"/>
                <w:szCs w:val="21"/>
              </w:rPr>
              <w:t>★1：膜材料：聚砜膜纤维</w:t>
            </w:r>
          </w:p>
          <w:p>
            <w:pPr>
              <w:jc w:val="left"/>
              <w:rPr>
                <w:rFonts w:ascii="宋体" w:hAnsi="宋体"/>
                <w:color w:val="000000" w:themeColor="text1"/>
                <w:szCs w:val="21"/>
              </w:rPr>
            </w:pPr>
            <w:r>
              <w:rPr>
                <w:rFonts w:hint="eastAsia" w:ascii="宋体" w:hAnsi="宋体"/>
                <w:color w:val="000000" w:themeColor="text1"/>
                <w:szCs w:val="21"/>
              </w:rPr>
              <w:t>2：保存方式：干膜保存</w:t>
            </w:r>
          </w:p>
          <w:p>
            <w:pPr>
              <w:jc w:val="left"/>
              <w:rPr>
                <w:rFonts w:ascii="宋体" w:hAnsi="宋体"/>
                <w:color w:val="000000" w:themeColor="text1"/>
                <w:szCs w:val="21"/>
              </w:rPr>
            </w:pPr>
            <w:r>
              <w:rPr>
                <w:rFonts w:hint="eastAsia" w:ascii="宋体" w:hAnsi="宋体"/>
                <w:color w:val="000000" w:themeColor="text1"/>
                <w:szCs w:val="21"/>
              </w:rPr>
              <w:t>3：有效膜面积≥ 1.6㎡。</w:t>
            </w:r>
          </w:p>
          <w:p>
            <w:pPr>
              <w:jc w:val="left"/>
              <w:rPr>
                <w:rFonts w:ascii="宋体" w:hAnsi="宋体"/>
                <w:color w:val="000000" w:themeColor="text1"/>
                <w:szCs w:val="21"/>
              </w:rPr>
            </w:pPr>
            <w:r>
              <w:rPr>
                <w:rFonts w:hint="eastAsia" w:ascii="宋体" w:hAnsi="宋体"/>
                <w:color w:val="000000" w:themeColor="text1"/>
                <w:szCs w:val="21"/>
              </w:rPr>
              <w:t>★4：超滤系数：≥16ml/h.mmH</w:t>
            </w:r>
          </w:p>
          <w:p>
            <w:pPr>
              <w:jc w:val="left"/>
              <w:rPr>
                <w:rFonts w:ascii="宋体" w:hAnsi="宋体"/>
                <w:color w:val="000000" w:themeColor="text1"/>
                <w:szCs w:val="21"/>
              </w:rPr>
            </w:pPr>
            <w:r>
              <w:rPr>
                <w:rFonts w:hint="eastAsia" w:ascii="宋体" w:hAnsi="宋体"/>
                <w:color w:val="000000" w:themeColor="text1"/>
                <w:szCs w:val="21"/>
              </w:rPr>
              <w:t>清除率（测试条件：QB=200ml/min）</w:t>
            </w:r>
          </w:p>
          <w:p>
            <w:pPr>
              <w:jc w:val="left"/>
              <w:rPr>
                <w:rFonts w:ascii="宋体" w:hAnsi="宋体"/>
                <w:color w:val="000000" w:themeColor="text1"/>
                <w:szCs w:val="21"/>
              </w:rPr>
            </w:pPr>
            <w:r>
              <w:rPr>
                <w:rFonts w:hint="eastAsia" w:ascii="宋体" w:hAnsi="宋体"/>
                <w:color w:val="000000" w:themeColor="text1"/>
                <w:szCs w:val="21"/>
              </w:rPr>
              <w:t>5：尿素清除率≥188</w:t>
            </w:r>
          </w:p>
          <w:p>
            <w:pPr>
              <w:jc w:val="left"/>
              <w:rPr>
                <w:rFonts w:ascii="宋体" w:hAnsi="宋体"/>
                <w:color w:val="000000" w:themeColor="text1"/>
                <w:szCs w:val="21"/>
              </w:rPr>
            </w:pPr>
            <w:r>
              <w:rPr>
                <w:rFonts w:hint="eastAsia" w:ascii="宋体" w:hAnsi="宋体"/>
                <w:color w:val="000000" w:themeColor="text1"/>
                <w:szCs w:val="21"/>
              </w:rPr>
              <w:t>6：肌酐清除率:≥175</w:t>
            </w:r>
          </w:p>
          <w:p>
            <w:pPr>
              <w:jc w:val="left"/>
              <w:rPr>
                <w:rFonts w:ascii="宋体" w:hAnsi="宋体"/>
                <w:color w:val="000000" w:themeColor="text1"/>
                <w:szCs w:val="21"/>
              </w:rPr>
            </w:pPr>
            <w:r>
              <w:rPr>
                <w:rFonts w:hint="eastAsia" w:ascii="宋体" w:hAnsi="宋体"/>
                <w:color w:val="000000" w:themeColor="text1"/>
                <w:szCs w:val="21"/>
              </w:rPr>
              <w:t>7：磷酸盐清除率≥155</w:t>
            </w:r>
          </w:p>
          <w:p>
            <w:pPr>
              <w:jc w:val="left"/>
              <w:rPr>
                <w:rFonts w:ascii="宋体" w:hAnsi="宋体"/>
                <w:color w:val="000000" w:themeColor="text1"/>
                <w:szCs w:val="21"/>
              </w:rPr>
            </w:pPr>
            <w:r>
              <w:rPr>
                <w:rFonts w:hint="eastAsia" w:ascii="宋体" w:hAnsi="宋体"/>
                <w:color w:val="000000" w:themeColor="text1"/>
                <w:szCs w:val="21"/>
              </w:rPr>
              <w:t>8：维生素B12 清除率：≥102</w:t>
            </w:r>
          </w:p>
          <w:p>
            <w:pPr>
              <w:jc w:val="left"/>
              <w:rPr>
                <w:rFonts w:ascii="宋体" w:hAnsi="宋体"/>
                <w:color w:val="000000" w:themeColor="text1"/>
                <w:szCs w:val="21"/>
              </w:rPr>
            </w:pPr>
            <w:r>
              <w:rPr>
                <w:rFonts w:hint="eastAsia" w:ascii="宋体" w:hAnsi="宋体"/>
                <w:color w:val="000000" w:themeColor="text1"/>
                <w:szCs w:val="21"/>
              </w:rPr>
              <w:t>★11：灭菌方式：蒸汽消毒或电子束</w:t>
            </w:r>
          </w:p>
        </w:tc>
        <w:tc>
          <w:tcPr>
            <w:tcW w:w="1559" w:type="dxa"/>
            <w:noWrap/>
            <w:vAlign w:val="center"/>
          </w:tcPr>
          <w:p>
            <w:pPr>
              <w:jc w:val="left"/>
              <w:rPr>
                <w:rFonts w:ascii="宋体" w:hAnsi="宋体"/>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675" w:type="dxa"/>
            <w:shd w:val="clear" w:color="auto" w:fill="auto"/>
            <w:noWrap/>
            <w:vAlign w:val="center"/>
          </w:tcPr>
          <w:p>
            <w:pPr>
              <w:jc w:val="left"/>
              <w:rPr>
                <w:rFonts w:ascii="宋体" w:hAnsi="宋体"/>
                <w:color w:val="000000" w:themeColor="text1"/>
                <w:szCs w:val="21"/>
              </w:rPr>
            </w:pPr>
            <w:r>
              <w:rPr>
                <w:rFonts w:hint="eastAsia" w:ascii="宋体" w:hAnsi="宋体"/>
                <w:color w:val="000000" w:themeColor="text1"/>
                <w:szCs w:val="21"/>
              </w:rPr>
              <w:t>8</w:t>
            </w:r>
          </w:p>
        </w:tc>
        <w:tc>
          <w:tcPr>
            <w:tcW w:w="2552" w:type="dxa"/>
            <w:shd w:val="clear" w:color="auto" w:fill="auto"/>
            <w:noWrap/>
            <w:vAlign w:val="center"/>
          </w:tcPr>
          <w:p>
            <w:pPr>
              <w:jc w:val="left"/>
              <w:rPr>
                <w:rFonts w:ascii="宋体" w:hAnsi="宋体"/>
                <w:color w:val="000000" w:themeColor="text1"/>
                <w:szCs w:val="21"/>
              </w:rPr>
            </w:pPr>
            <w:r>
              <w:rPr>
                <w:rFonts w:ascii="宋体" w:hAnsi="宋体"/>
                <w:color w:val="000000" w:themeColor="text1"/>
                <w:szCs w:val="21"/>
              </w:rPr>
              <w:t>高通量透析器</w:t>
            </w:r>
          </w:p>
        </w:tc>
        <w:tc>
          <w:tcPr>
            <w:tcW w:w="3969" w:type="dxa"/>
            <w:noWrap/>
            <w:vAlign w:val="center"/>
          </w:tcPr>
          <w:p>
            <w:pPr>
              <w:jc w:val="left"/>
              <w:rPr>
                <w:rFonts w:ascii="宋体" w:hAnsi="宋体"/>
                <w:color w:val="000000" w:themeColor="text1"/>
                <w:szCs w:val="21"/>
              </w:rPr>
            </w:pPr>
            <w:r>
              <w:rPr>
                <w:rFonts w:hint="eastAsia" w:ascii="宋体" w:hAnsi="宋体"/>
                <w:color w:val="000000" w:themeColor="text1"/>
                <w:szCs w:val="21"/>
              </w:rPr>
              <w:t>★1：膜材料：聚砜膜纤维</w:t>
            </w:r>
          </w:p>
          <w:p>
            <w:pPr>
              <w:jc w:val="left"/>
              <w:rPr>
                <w:rFonts w:ascii="宋体" w:hAnsi="宋体"/>
                <w:color w:val="000000" w:themeColor="text1"/>
                <w:szCs w:val="21"/>
              </w:rPr>
            </w:pPr>
            <w:r>
              <w:rPr>
                <w:rFonts w:hint="eastAsia" w:ascii="宋体" w:hAnsi="宋体"/>
                <w:color w:val="000000" w:themeColor="text1"/>
                <w:szCs w:val="21"/>
              </w:rPr>
              <w:t>2：保存方式：干膜保存</w:t>
            </w:r>
          </w:p>
          <w:p>
            <w:pPr>
              <w:jc w:val="left"/>
              <w:rPr>
                <w:rFonts w:ascii="宋体" w:hAnsi="宋体"/>
                <w:color w:val="000000" w:themeColor="text1"/>
                <w:szCs w:val="21"/>
              </w:rPr>
            </w:pPr>
            <w:r>
              <w:rPr>
                <w:rFonts w:hint="eastAsia" w:ascii="宋体" w:hAnsi="宋体"/>
                <w:color w:val="000000" w:themeColor="text1"/>
                <w:szCs w:val="21"/>
              </w:rPr>
              <w:t>3：有效膜面积≥ 1.6㎡。</w:t>
            </w:r>
          </w:p>
          <w:p>
            <w:pPr>
              <w:jc w:val="left"/>
              <w:rPr>
                <w:rFonts w:ascii="宋体" w:hAnsi="宋体"/>
                <w:color w:val="000000" w:themeColor="text1"/>
                <w:szCs w:val="21"/>
              </w:rPr>
            </w:pPr>
            <w:r>
              <w:rPr>
                <w:rFonts w:hint="eastAsia" w:ascii="宋体" w:hAnsi="宋体"/>
                <w:color w:val="000000" w:themeColor="text1"/>
                <w:szCs w:val="21"/>
              </w:rPr>
              <w:t>★4：超滤系数：≥55ml/h.mmH</w:t>
            </w:r>
          </w:p>
          <w:p>
            <w:pPr>
              <w:jc w:val="left"/>
              <w:rPr>
                <w:rFonts w:ascii="宋体" w:hAnsi="宋体"/>
                <w:color w:val="000000" w:themeColor="text1"/>
                <w:szCs w:val="21"/>
              </w:rPr>
            </w:pPr>
            <w:r>
              <w:rPr>
                <w:rFonts w:hint="eastAsia" w:ascii="宋体" w:hAnsi="宋体"/>
                <w:color w:val="000000" w:themeColor="text1"/>
                <w:szCs w:val="21"/>
              </w:rPr>
              <w:t>清除率（测试条件：QB=200ml/min）</w:t>
            </w:r>
          </w:p>
          <w:p>
            <w:pPr>
              <w:jc w:val="left"/>
              <w:rPr>
                <w:rFonts w:ascii="宋体" w:hAnsi="宋体"/>
                <w:color w:val="000000" w:themeColor="text1"/>
                <w:szCs w:val="21"/>
              </w:rPr>
            </w:pPr>
            <w:r>
              <w:rPr>
                <w:rFonts w:hint="eastAsia" w:ascii="宋体" w:hAnsi="宋体"/>
                <w:color w:val="000000" w:themeColor="text1"/>
                <w:szCs w:val="21"/>
              </w:rPr>
              <w:t>5：尿素清除率≥195</w:t>
            </w:r>
          </w:p>
          <w:p>
            <w:pPr>
              <w:jc w:val="left"/>
              <w:rPr>
                <w:rFonts w:ascii="宋体" w:hAnsi="宋体"/>
                <w:color w:val="000000" w:themeColor="text1"/>
                <w:szCs w:val="21"/>
              </w:rPr>
            </w:pPr>
            <w:r>
              <w:rPr>
                <w:rFonts w:hint="eastAsia" w:ascii="宋体" w:hAnsi="宋体"/>
                <w:color w:val="000000" w:themeColor="text1"/>
                <w:szCs w:val="21"/>
              </w:rPr>
              <w:t>6：肌酐清除率:≥191</w:t>
            </w:r>
          </w:p>
          <w:p>
            <w:pPr>
              <w:jc w:val="left"/>
              <w:rPr>
                <w:rFonts w:ascii="宋体" w:hAnsi="宋体"/>
                <w:color w:val="000000" w:themeColor="text1"/>
                <w:szCs w:val="21"/>
              </w:rPr>
            </w:pPr>
            <w:r>
              <w:rPr>
                <w:rFonts w:hint="eastAsia" w:ascii="宋体" w:hAnsi="宋体"/>
                <w:color w:val="000000" w:themeColor="text1"/>
                <w:szCs w:val="21"/>
              </w:rPr>
              <w:t>7：磷酸盐清除率≥188</w:t>
            </w:r>
          </w:p>
          <w:p>
            <w:pPr>
              <w:jc w:val="left"/>
              <w:rPr>
                <w:rFonts w:ascii="宋体" w:hAnsi="宋体"/>
                <w:color w:val="000000" w:themeColor="text1"/>
                <w:szCs w:val="21"/>
              </w:rPr>
            </w:pPr>
            <w:r>
              <w:rPr>
                <w:rFonts w:hint="eastAsia" w:ascii="宋体" w:hAnsi="宋体"/>
                <w:color w:val="000000" w:themeColor="text1"/>
                <w:szCs w:val="21"/>
              </w:rPr>
              <w:t>8：维生素B12 清除率：≥119</w:t>
            </w:r>
          </w:p>
          <w:p>
            <w:pPr>
              <w:jc w:val="left"/>
              <w:rPr>
                <w:rFonts w:ascii="宋体" w:hAnsi="宋体"/>
                <w:color w:val="000000" w:themeColor="text1"/>
                <w:szCs w:val="21"/>
              </w:rPr>
            </w:pPr>
            <w:r>
              <w:rPr>
                <w:rFonts w:hint="eastAsia" w:ascii="宋体" w:hAnsi="宋体"/>
                <w:color w:val="000000" w:themeColor="text1"/>
                <w:szCs w:val="21"/>
              </w:rPr>
              <w:t>★11：灭菌方式：蒸汽消毒或电子束</w:t>
            </w:r>
          </w:p>
        </w:tc>
        <w:tc>
          <w:tcPr>
            <w:tcW w:w="1559" w:type="dxa"/>
            <w:noWrap/>
            <w:vAlign w:val="center"/>
          </w:tcPr>
          <w:p>
            <w:pPr>
              <w:jc w:val="left"/>
              <w:rPr>
                <w:rFonts w:ascii="宋体" w:hAnsi="宋体"/>
                <w:color w:val="000000" w:themeColor="text1"/>
                <w:szCs w:val="21"/>
              </w:rPr>
            </w:pPr>
          </w:p>
        </w:tc>
      </w:tr>
    </w:tbl>
    <w:p>
      <w:pPr>
        <w:jc w:val="left"/>
        <w:rPr>
          <w:rFonts w:ascii="宋体" w:hAnsi="宋体"/>
          <w:color w:val="000000" w:themeColor="text1"/>
          <w:szCs w:val="21"/>
        </w:rPr>
      </w:pPr>
    </w:p>
    <w:p>
      <w:pPr>
        <w:jc w:val="left"/>
        <w:rPr>
          <w:rFonts w:ascii="宋体" w:hAnsi="宋体"/>
          <w:color w:val="000000" w:themeColor="text1"/>
          <w:szCs w:val="21"/>
        </w:rPr>
      </w:pPr>
      <w:r>
        <w:rPr>
          <w:rFonts w:hint="eastAsia" w:ascii="宋体" w:hAnsi="宋体"/>
          <w:color w:val="000000" w:themeColor="text1"/>
          <w:szCs w:val="21"/>
        </w:rPr>
        <w:t>说明：</w:t>
      </w:r>
    </w:p>
    <w:p>
      <w:pPr>
        <w:jc w:val="left"/>
        <w:rPr>
          <w:rFonts w:ascii="宋体" w:hAnsi="宋体"/>
          <w:color w:val="000000" w:themeColor="text1"/>
          <w:szCs w:val="21"/>
        </w:rPr>
      </w:pPr>
      <w:r>
        <w:rPr>
          <w:rFonts w:ascii="宋体" w:hAnsi="宋体"/>
          <w:color w:val="000000" w:themeColor="text1"/>
          <w:szCs w:val="21"/>
        </w:rPr>
        <w:t>1</w:t>
      </w:r>
      <w:r>
        <w:rPr>
          <w:rFonts w:hint="eastAsia" w:ascii="宋体" w:hAnsi="宋体"/>
          <w:color w:val="000000" w:themeColor="text1"/>
          <w:szCs w:val="21"/>
        </w:rPr>
        <w:t>、投标人的投标文件必须标明所供货物的品牌与参数，保证原厂正品供货，提供相关证明资料等；</w:t>
      </w:r>
    </w:p>
    <w:p>
      <w:pPr>
        <w:jc w:val="left"/>
        <w:rPr>
          <w:rFonts w:ascii="宋体" w:hAnsi="宋体"/>
          <w:color w:val="000000" w:themeColor="text1"/>
          <w:szCs w:val="21"/>
        </w:rPr>
      </w:pPr>
      <w:r>
        <w:rPr>
          <w:rFonts w:ascii="宋体" w:hAnsi="宋体"/>
          <w:color w:val="000000" w:themeColor="text1"/>
          <w:szCs w:val="21"/>
        </w:rPr>
        <w:t>2</w:t>
      </w:r>
      <w:r>
        <w:rPr>
          <w:rFonts w:hint="eastAsia" w:ascii="宋体" w:hAnsi="宋体"/>
          <w:color w:val="000000" w:themeColor="text1"/>
          <w:szCs w:val="21"/>
        </w:rPr>
        <w:t>、投标人须承诺所有中标产品必须严格执行两票制和安徽省医药集中采购中心平台配送关系落实执行网采流程单，提供（投标人承诺函）加盖投标人公章；</w:t>
      </w:r>
      <w:r>
        <w:rPr>
          <w:rFonts w:ascii="宋体" w:hAnsi="宋体"/>
          <w:color w:val="000000" w:themeColor="text1"/>
          <w:szCs w:val="21"/>
        </w:rPr>
        <w:t xml:space="preserve"> </w:t>
      </w:r>
    </w:p>
    <w:p>
      <w:pPr>
        <w:jc w:val="left"/>
        <w:rPr>
          <w:rFonts w:ascii="宋体" w:hAnsi="宋体"/>
          <w:color w:val="000000" w:themeColor="text1"/>
          <w:szCs w:val="21"/>
        </w:rPr>
      </w:pPr>
      <w:r>
        <w:rPr>
          <w:rFonts w:ascii="宋体" w:hAnsi="宋体"/>
          <w:color w:val="000000" w:themeColor="text1"/>
          <w:szCs w:val="21"/>
        </w:rPr>
        <w:t>3</w:t>
      </w:r>
      <w:r>
        <w:rPr>
          <w:rFonts w:hint="eastAsia" w:ascii="宋体" w:hAnsi="宋体"/>
          <w:color w:val="000000" w:themeColor="text1"/>
          <w:szCs w:val="21"/>
        </w:rPr>
        <w:t>、“各规格、各型号”均指在安徽省医药集中采购中心平台上（如在平台上）公布的及投标人所供品牌下所有的各产品所有规格、型号；</w:t>
      </w:r>
    </w:p>
    <w:p>
      <w:pPr>
        <w:jc w:val="left"/>
        <w:rPr>
          <w:rFonts w:ascii="宋体" w:hAnsi="宋体"/>
          <w:color w:val="000000" w:themeColor="text1"/>
          <w:szCs w:val="21"/>
        </w:rPr>
      </w:pPr>
      <w:r>
        <w:rPr>
          <w:rFonts w:hint="eastAsia" w:ascii="宋体" w:hAnsi="宋体"/>
          <w:color w:val="000000" w:themeColor="text1"/>
          <w:szCs w:val="21"/>
        </w:rPr>
        <w:t>4、透析液、B干粉、血路管、穿刺针要求在安徽省医药集中采购中心平台上有限价的产品不接受备案交易产品报价；</w:t>
      </w:r>
    </w:p>
    <w:p>
      <w:pPr>
        <w:jc w:val="left"/>
        <w:rPr>
          <w:rFonts w:ascii="宋体" w:hAnsi="宋体"/>
          <w:color w:val="000000" w:themeColor="text1"/>
          <w:szCs w:val="21"/>
        </w:rPr>
      </w:pPr>
      <w:r>
        <w:rPr>
          <w:rFonts w:hint="eastAsia" w:ascii="宋体" w:hAnsi="宋体"/>
          <w:color w:val="000000" w:themeColor="text1"/>
          <w:szCs w:val="21"/>
        </w:rPr>
        <w:t xml:space="preserve">5、低通量透析器、高通量透析器均必须为安徽省带量采购中标产品提供价格遴选。       </w:t>
      </w:r>
    </w:p>
    <w:p>
      <w:pPr>
        <w:jc w:val="left"/>
        <w:rPr>
          <w:rFonts w:ascii="宋体" w:hAnsi="宋体"/>
          <w:color w:val="000000" w:themeColor="text1"/>
          <w:szCs w:val="21"/>
        </w:rPr>
      </w:pPr>
      <w:r>
        <w:rPr>
          <w:rFonts w:hint="eastAsia" w:ascii="宋体" w:hAnsi="宋体"/>
          <w:color w:val="000000" w:themeColor="text1"/>
          <w:szCs w:val="21"/>
        </w:rPr>
        <w:t xml:space="preserve"> 6、无条件执行相关文件精神，在配送合同（协议）有效期内，如果政策改变，院方有权对供应货物的价格、供货范围进行调整，甚至解除合同（协议）。</w:t>
      </w:r>
    </w:p>
    <w:p>
      <w:pPr>
        <w:pStyle w:val="57"/>
        <w:jc w:val="center"/>
        <w:rPr>
          <w:rFonts w:hint="eastAsia"/>
          <w:sz w:val="28"/>
        </w:rPr>
      </w:pPr>
    </w:p>
    <w:p>
      <w:pPr>
        <w:jc w:val="center"/>
        <w:rPr>
          <w:rFonts w:hint="eastAsia"/>
        </w:rPr>
      </w:pPr>
    </w:p>
    <w:tbl>
      <w:tblPr>
        <w:tblStyle w:val="28"/>
        <w:tblpPr w:leftFromText="180" w:rightFromText="180" w:vertAnchor="text" w:horzAnchor="margin" w:tblpXSpec="center" w:tblpY="462"/>
        <w:tblW w:w="4997"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4"/>
        <w:gridCol w:w="3594"/>
        <w:gridCol w:w="1256"/>
        <w:gridCol w:w="1617"/>
        <w:gridCol w:w="23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442" w:type="pct"/>
            <w:noWrap/>
            <w:vAlign w:val="center"/>
          </w:tcPr>
          <w:p>
            <w:pPr>
              <w:jc w:val="left"/>
              <w:rPr>
                <w:rFonts w:ascii="宋体" w:hAnsi="宋体"/>
                <w:color w:val="000000" w:themeColor="text1"/>
                <w:szCs w:val="21"/>
              </w:rPr>
            </w:pPr>
            <w:r>
              <w:rPr>
                <w:rFonts w:hint="eastAsia" w:ascii="宋体" w:hAnsi="宋体"/>
                <w:color w:val="000000" w:themeColor="text1"/>
                <w:szCs w:val="21"/>
              </w:rPr>
              <w:t>序号</w:t>
            </w:r>
          </w:p>
        </w:tc>
        <w:tc>
          <w:tcPr>
            <w:tcW w:w="1860" w:type="pct"/>
            <w:noWrap/>
            <w:vAlign w:val="center"/>
          </w:tcPr>
          <w:p>
            <w:pPr>
              <w:jc w:val="left"/>
              <w:rPr>
                <w:rFonts w:ascii="宋体" w:hAnsi="宋体"/>
                <w:color w:val="000000" w:themeColor="text1"/>
                <w:szCs w:val="21"/>
              </w:rPr>
            </w:pPr>
            <w:r>
              <w:rPr>
                <w:rFonts w:hint="eastAsia" w:ascii="宋体" w:hAnsi="宋体"/>
                <w:color w:val="000000" w:themeColor="text1"/>
                <w:szCs w:val="21"/>
              </w:rPr>
              <w:t>产品名称</w:t>
            </w:r>
          </w:p>
        </w:tc>
        <w:tc>
          <w:tcPr>
            <w:tcW w:w="650" w:type="pct"/>
            <w:noWrap/>
            <w:vAlign w:val="center"/>
          </w:tcPr>
          <w:p>
            <w:pPr>
              <w:jc w:val="left"/>
              <w:rPr>
                <w:rFonts w:ascii="宋体" w:hAnsi="宋体"/>
                <w:color w:val="000000" w:themeColor="text1"/>
                <w:szCs w:val="21"/>
              </w:rPr>
            </w:pPr>
            <w:r>
              <w:rPr>
                <w:rFonts w:hint="eastAsia" w:ascii="宋体" w:hAnsi="宋体"/>
                <w:color w:val="000000" w:themeColor="text1"/>
                <w:szCs w:val="21"/>
              </w:rPr>
              <w:t>数量</w:t>
            </w:r>
          </w:p>
        </w:tc>
        <w:tc>
          <w:tcPr>
            <w:tcW w:w="837" w:type="pct"/>
          </w:tcPr>
          <w:p>
            <w:pPr>
              <w:jc w:val="left"/>
              <w:rPr>
                <w:rFonts w:ascii="宋体" w:hAnsi="宋体"/>
                <w:color w:val="000000" w:themeColor="text1"/>
                <w:szCs w:val="21"/>
              </w:rPr>
            </w:pPr>
          </w:p>
          <w:p>
            <w:pPr>
              <w:jc w:val="left"/>
              <w:rPr>
                <w:rFonts w:ascii="宋体" w:hAnsi="宋体"/>
                <w:color w:val="000000" w:themeColor="text1"/>
                <w:szCs w:val="21"/>
              </w:rPr>
            </w:pPr>
            <w:r>
              <w:rPr>
                <w:rFonts w:hint="eastAsia" w:ascii="宋体" w:hAnsi="宋体"/>
                <w:color w:val="000000" w:themeColor="text1"/>
                <w:szCs w:val="21"/>
              </w:rPr>
              <w:t>流水号</w:t>
            </w:r>
          </w:p>
        </w:tc>
        <w:tc>
          <w:tcPr>
            <w:tcW w:w="1208" w:type="pct"/>
            <w:noWrap/>
            <w:vAlign w:val="center"/>
          </w:tcPr>
          <w:p>
            <w:pPr>
              <w:jc w:val="both"/>
              <w:rPr>
                <w:rFonts w:hint="default" w:eastAsia="宋体"/>
                <w:lang w:val="en-US" w:eastAsia="zh-CN"/>
              </w:rPr>
            </w:pPr>
            <w:r>
              <w:rPr>
                <w:rFonts w:hint="eastAsia" w:ascii="宋体" w:hAnsi="宋体"/>
                <w:color w:val="000000" w:themeColor="text1"/>
                <w:szCs w:val="21"/>
                <w:lang w:val="en-US" w:eastAsia="zh-CN"/>
              </w:rPr>
              <w:t>最高投标限价单价</w:t>
            </w:r>
          </w:p>
          <w:p>
            <w:pPr>
              <w:jc w:val="left"/>
              <w:rPr>
                <w:rFonts w:ascii="宋体" w:hAnsi="宋体"/>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4" w:hRule="atLeast"/>
        </w:trPr>
        <w:tc>
          <w:tcPr>
            <w:tcW w:w="442" w:type="pct"/>
            <w:shd w:val="clear" w:color="auto" w:fill="auto"/>
            <w:noWrap/>
            <w:vAlign w:val="center"/>
          </w:tcPr>
          <w:p>
            <w:pPr>
              <w:jc w:val="left"/>
              <w:rPr>
                <w:rFonts w:ascii="宋体" w:hAnsi="宋体"/>
                <w:color w:val="000000" w:themeColor="text1"/>
                <w:szCs w:val="21"/>
              </w:rPr>
            </w:pPr>
            <w:r>
              <w:rPr>
                <w:rFonts w:hint="eastAsia" w:ascii="宋体" w:hAnsi="宋体"/>
                <w:color w:val="000000" w:themeColor="text1"/>
                <w:szCs w:val="21"/>
              </w:rPr>
              <w:t>1</w:t>
            </w:r>
          </w:p>
        </w:tc>
        <w:tc>
          <w:tcPr>
            <w:tcW w:w="1860" w:type="pct"/>
            <w:shd w:val="clear" w:color="auto" w:fill="auto"/>
            <w:noWrap/>
            <w:vAlign w:val="center"/>
          </w:tcPr>
          <w:p>
            <w:pPr>
              <w:jc w:val="left"/>
              <w:rPr>
                <w:rFonts w:ascii="宋体" w:hAnsi="宋体"/>
                <w:color w:val="000000" w:themeColor="text1"/>
                <w:szCs w:val="21"/>
              </w:rPr>
            </w:pPr>
            <w:r>
              <w:rPr>
                <w:rFonts w:hint="eastAsia" w:ascii="宋体" w:hAnsi="宋体"/>
                <w:color w:val="000000" w:themeColor="text1"/>
                <w:szCs w:val="21"/>
              </w:rPr>
              <w:t>血液净化体外循环管路</w:t>
            </w:r>
          </w:p>
        </w:tc>
        <w:tc>
          <w:tcPr>
            <w:tcW w:w="650" w:type="pct"/>
            <w:noWrap/>
            <w:vAlign w:val="center"/>
          </w:tcPr>
          <w:p>
            <w:pPr>
              <w:jc w:val="left"/>
              <w:rPr>
                <w:rFonts w:ascii="宋体" w:hAnsi="宋体"/>
                <w:color w:val="000000" w:themeColor="text1"/>
                <w:szCs w:val="21"/>
              </w:rPr>
            </w:pPr>
            <w:r>
              <w:rPr>
                <w:rFonts w:hint="eastAsia" w:ascii="宋体" w:hAnsi="宋体"/>
                <w:color w:val="000000" w:themeColor="text1"/>
                <w:szCs w:val="21"/>
              </w:rPr>
              <w:t>1套</w:t>
            </w:r>
          </w:p>
        </w:tc>
        <w:tc>
          <w:tcPr>
            <w:tcW w:w="837" w:type="pct"/>
          </w:tcPr>
          <w:p>
            <w:pPr>
              <w:jc w:val="left"/>
              <w:rPr>
                <w:rFonts w:ascii="宋体" w:hAnsi="宋体"/>
                <w:color w:val="000000" w:themeColor="text1"/>
                <w:szCs w:val="21"/>
              </w:rPr>
            </w:pPr>
          </w:p>
        </w:tc>
        <w:tc>
          <w:tcPr>
            <w:tcW w:w="1208" w:type="pct"/>
            <w:noWrap/>
            <w:vAlign w:val="center"/>
          </w:tcPr>
          <w:p>
            <w:pPr>
              <w:jc w:val="left"/>
              <w:rPr>
                <w:rFonts w:hint="default" w:ascii="宋体" w:hAnsi="宋体" w:eastAsia="宋体"/>
                <w:color w:val="000000" w:themeColor="text1"/>
                <w:szCs w:val="21"/>
                <w:lang w:val="en-US" w:eastAsia="zh-CN"/>
              </w:rPr>
            </w:pPr>
            <w:r>
              <w:rPr>
                <w:rFonts w:hint="eastAsia" w:ascii="宋体" w:hAnsi="宋体"/>
                <w:color w:val="000000" w:themeColor="text1"/>
                <w:szCs w:val="21"/>
                <w:lang w:val="en-US" w:eastAsia="zh-CN"/>
              </w:rPr>
              <w:t>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4" w:hRule="atLeast"/>
        </w:trPr>
        <w:tc>
          <w:tcPr>
            <w:tcW w:w="442" w:type="pct"/>
            <w:shd w:val="clear" w:color="auto" w:fill="auto"/>
            <w:noWrap/>
            <w:vAlign w:val="center"/>
          </w:tcPr>
          <w:p>
            <w:pPr>
              <w:jc w:val="left"/>
              <w:rPr>
                <w:rFonts w:ascii="宋体" w:hAnsi="宋体"/>
                <w:color w:val="000000" w:themeColor="text1"/>
                <w:szCs w:val="21"/>
              </w:rPr>
            </w:pPr>
            <w:r>
              <w:rPr>
                <w:rFonts w:hint="eastAsia" w:ascii="宋体" w:hAnsi="宋体"/>
                <w:color w:val="000000" w:themeColor="text1"/>
                <w:szCs w:val="21"/>
              </w:rPr>
              <w:t>2</w:t>
            </w:r>
          </w:p>
        </w:tc>
        <w:tc>
          <w:tcPr>
            <w:tcW w:w="1860" w:type="pct"/>
            <w:shd w:val="clear" w:color="auto" w:fill="auto"/>
            <w:noWrap/>
            <w:vAlign w:val="center"/>
          </w:tcPr>
          <w:p>
            <w:pPr>
              <w:jc w:val="left"/>
              <w:rPr>
                <w:rFonts w:ascii="宋体" w:hAnsi="宋体"/>
                <w:color w:val="000000" w:themeColor="text1"/>
                <w:szCs w:val="21"/>
              </w:rPr>
            </w:pPr>
            <w:r>
              <w:rPr>
                <w:rFonts w:hint="eastAsia" w:ascii="宋体" w:hAnsi="宋体"/>
                <w:color w:val="000000" w:themeColor="text1"/>
                <w:szCs w:val="21"/>
              </w:rPr>
              <w:t>一次性使用动静脉穿刺针</w:t>
            </w:r>
          </w:p>
        </w:tc>
        <w:tc>
          <w:tcPr>
            <w:tcW w:w="650" w:type="pct"/>
            <w:noWrap/>
            <w:vAlign w:val="center"/>
          </w:tcPr>
          <w:p>
            <w:pPr>
              <w:jc w:val="left"/>
              <w:rPr>
                <w:rFonts w:ascii="宋体" w:hAnsi="宋体"/>
                <w:color w:val="000000" w:themeColor="text1"/>
                <w:szCs w:val="21"/>
              </w:rPr>
            </w:pPr>
            <w:r>
              <w:rPr>
                <w:rFonts w:hint="eastAsia" w:ascii="宋体" w:hAnsi="宋体"/>
                <w:color w:val="000000" w:themeColor="text1"/>
                <w:szCs w:val="21"/>
                <w:lang w:val="en-US" w:eastAsia="zh-CN"/>
              </w:rPr>
              <w:t>1</w:t>
            </w:r>
            <w:r>
              <w:rPr>
                <w:rFonts w:hint="eastAsia" w:ascii="宋体" w:hAnsi="宋体"/>
                <w:color w:val="000000" w:themeColor="text1"/>
                <w:szCs w:val="21"/>
              </w:rPr>
              <w:t>根</w:t>
            </w:r>
          </w:p>
        </w:tc>
        <w:tc>
          <w:tcPr>
            <w:tcW w:w="837" w:type="pct"/>
          </w:tcPr>
          <w:p>
            <w:pPr>
              <w:jc w:val="left"/>
              <w:rPr>
                <w:rFonts w:ascii="宋体" w:hAnsi="宋体"/>
                <w:color w:val="000000" w:themeColor="text1"/>
                <w:szCs w:val="21"/>
              </w:rPr>
            </w:pPr>
          </w:p>
        </w:tc>
        <w:tc>
          <w:tcPr>
            <w:tcW w:w="1208" w:type="pct"/>
            <w:noWrap/>
            <w:vAlign w:val="center"/>
          </w:tcPr>
          <w:p>
            <w:pPr>
              <w:jc w:val="left"/>
              <w:rPr>
                <w:rFonts w:hint="default" w:ascii="宋体" w:hAnsi="宋体" w:eastAsia="宋体"/>
                <w:color w:val="000000" w:themeColor="text1"/>
                <w:szCs w:val="21"/>
                <w:lang w:val="en-US" w:eastAsia="zh-CN"/>
              </w:rPr>
            </w:pPr>
            <w:r>
              <w:rPr>
                <w:rFonts w:hint="eastAsia" w:ascii="宋体" w:hAnsi="宋体"/>
                <w:color w:val="000000" w:themeColor="text1"/>
                <w:szCs w:val="21"/>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4" w:hRule="atLeast"/>
        </w:trPr>
        <w:tc>
          <w:tcPr>
            <w:tcW w:w="442" w:type="pct"/>
            <w:shd w:val="clear" w:color="auto" w:fill="auto"/>
            <w:noWrap/>
            <w:vAlign w:val="center"/>
          </w:tcPr>
          <w:p>
            <w:pPr>
              <w:jc w:val="left"/>
              <w:rPr>
                <w:rFonts w:ascii="宋体" w:hAnsi="宋体"/>
                <w:color w:val="000000" w:themeColor="text1"/>
                <w:szCs w:val="21"/>
              </w:rPr>
            </w:pPr>
            <w:r>
              <w:rPr>
                <w:rFonts w:hint="eastAsia" w:ascii="宋体" w:hAnsi="宋体"/>
                <w:color w:val="000000" w:themeColor="text1"/>
                <w:szCs w:val="21"/>
              </w:rPr>
              <w:t>3</w:t>
            </w:r>
          </w:p>
        </w:tc>
        <w:tc>
          <w:tcPr>
            <w:tcW w:w="1860" w:type="pct"/>
            <w:shd w:val="clear" w:color="auto" w:fill="auto"/>
            <w:noWrap/>
            <w:vAlign w:val="center"/>
          </w:tcPr>
          <w:p>
            <w:pPr>
              <w:jc w:val="left"/>
              <w:rPr>
                <w:rFonts w:ascii="宋体" w:hAnsi="宋体"/>
                <w:color w:val="000000" w:themeColor="text1"/>
                <w:szCs w:val="21"/>
              </w:rPr>
            </w:pPr>
            <w:r>
              <w:rPr>
                <w:rFonts w:hint="eastAsia" w:ascii="宋体" w:hAnsi="宋体"/>
                <w:color w:val="000000" w:themeColor="text1"/>
                <w:szCs w:val="21"/>
              </w:rPr>
              <w:t>血液透析浓缩物（A 液）</w:t>
            </w:r>
          </w:p>
        </w:tc>
        <w:tc>
          <w:tcPr>
            <w:tcW w:w="650" w:type="pct"/>
            <w:noWrap/>
            <w:vAlign w:val="center"/>
          </w:tcPr>
          <w:p>
            <w:pPr>
              <w:jc w:val="left"/>
              <w:rPr>
                <w:rFonts w:ascii="宋体" w:hAnsi="宋体"/>
                <w:color w:val="000000" w:themeColor="text1"/>
                <w:szCs w:val="21"/>
              </w:rPr>
            </w:pPr>
            <w:r>
              <w:rPr>
                <w:rFonts w:hint="eastAsia" w:ascii="宋体" w:hAnsi="宋体"/>
                <w:color w:val="000000" w:themeColor="text1"/>
                <w:szCs w:val="21"/>
              </w:rPr>
              <w:t>1人份</w:t>
            </w:r>
          </w:p>
        </w:tc>
        <w:tc>
          <w:tcPr>
            <w:tcW w:w="837" w:type="pct"/>
          </w:tcPr>
          <w:p>
            <w:pPr>
              <w:jc w:val="left"/>
              <w:rPr>
                <w:rFonts w:hint="default" w:ascii="宋体" w:hAnsi="宋体" w:eastAsia="宋体"/>
                <w:color w:val="000000" w:themeColor="text1"/>
                <w:szCs w:val="21"/>
                <w:lang w:val="en-US" w:eastAsia="zh-CN"/>
              </w:rPr>
            </w:pPr>
          </w:p>
        </w:tc>
        <w:tc>
          <w:tcPr>
            <w:tcW w:w="1208" w:type="pct"/>
            <w:noWrap/>
            <w:vAlign w:val="center"/>
          </w:tcPr>
          <w:p>
            <w:pPr>
              <w:jc w:val="left"/>
              <w:rPr>
                <w:rFonts w:hint="default" w:ascii="宋体" w:hAnsi="宋体" w:eastAsia="宋体"/>
                <w:color w:val="000000" w:themeColor="text1"/>
                <w:szCs w:val="21"/>
                <w:lang w:val="en-US" w:eastAsia="zh-CN"/>
              </w:rPr>
            </w:pPr>
            <w:r>
              <w:rPr>
                <w:rFonts w:hint="eastAsia" w:ascii="宋体" w:hAnsi="宋体"/>
                <w:color w:val="000000" w:themeColor="text1"/>
                <w:szCs w:val="21"/>
                <w:lang w:val="en-US" w:eastAsia="zh-CN"/>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442" w:type="pct"/>
            <w:shd w:val="clear" w:color="auto" w:fill="auto"/>
            <w:noWrap/>
            <w:vAlign w:val="center"/>
          </w:tcPr>
          <w:p>
            <w:pPr>
              <w:jc w:val="left"/>
              <w:rPr>
                <w:rFonts w:ascii="宋体" w:hAnsi="宋体"/>
                <w:color w:val="000000" w:themeColor="text1"/>
                <w:szCs w:val="21"/>
              </w:rPr>
            </w:pPr>
            <w:r>
              <w:rPr>
                <w:rFonts w:hint="eastAsia" w:ascii="宋体" w:hAnsi="宋体"/>
                <w:color w:val="000000" w:themeColor="text1"/>
                <w:szCs w:val="21"/>
              </w:rPr>
              <w:t>4</w:t>
            </w:r>
          </w:p>
        </w:tc>
        <w:tc>
          <w:tcPr>
            <w:tcW w:w="1860" w:type="pct"/>
            <w:shd w:val="clear" w:color="auto" w:fill="auto"/>
            <w:noWrap/>
            <w:vAlign w:val="center"/>
          </w:tcPr>
          <w:p>
            <w:pPr>
              <w:jc w:val="left"/>
              <w:rPr>
                <w:rFonts w:ascii="宋体" w:hAnsi="宋体"/>
                <w:color w:val="000000" w:themeColor="text1"/>
                <w:szCs w:val="21"/>
              </w:rPr>
            </w:pPr>
            <w:r>
              <w:rPr>
                <w:rFonts w:hint="eastAsia" w:ascii="宋体" w:hAnsi="宋体"/>
                <w:color w:val="000000" w:themeColor="text1"/>
                <w:szCs w:val="21"/>
              </w:rPr>
              <w:t>B干粉桶（B干粉袋）</w:t>
            </w:r>
          </w:p>
        </w:tc>
        <w:tc>
          <w:tcPr>
            <w:tcW w:w="650" w:type="pct"/>
            <w:noWrap/>
            <w:vAlign w:val="center"/>
          </w:tcPr>
          <w:p>
            <w:pPr>
              <w:jc w:val="left"/>
              <w:rPr>
                <w:rFonts w:ascii="宋体" w:hAnsi="宋体"/>
                <w:color w:val="000000" w:themeColor="text1"/>
                <w:szCs w:val="21"/>
              </w:rPr>
            </w:pPr>
            <w:r>
              <w:rPr>
                <w:rFonts w:hint="eastAsia" w:ascii="宋体" w:hAnsi="宋体"/>
                <w:color w:val="000000" w:themeColor="text1"/>
                <w:szCs w:val="21"/>
              </w:rPr>
              <w:t>1人份</w:t>
            </w:r>
          </w:p>
        </w:tc>
        <w:tc>
          <w:tcPr>
            <w:tcW w:w="837" w:type="pct"/>
          </w:tcPr>
          <w:p>
            <w:pPr>
              <w:jc w:val="left"/>
              <w:rPr>
                <w:rFonts w:hint="eastAsia" w:ascii="宋体" w:hAnsi="宋体" w:eastAsia="宋体"/>
                <w:color w:val="000000" w:themeColor="text1"/>
                <w:szCs w:val="21"/>
                <w:lang w:val="en-US" w:eastAsia="zh-CN"/>
              </w:rPr>
            </w:pPr>
          </w:p>
        </w:tc>
        <w:tc>
          <w:tcPr>
            <w:tcW w:w="1208" w:type="pct"/>
            <w:noWrap/>
            <w:vAlign w:val="center"/>
          </w:tcPr>
          <w:p>
            <w:pPr>
              <w:jc w:val="left"/>
              <w:rPr>
                <w:rFonts w:hint="default" w:ascii="宋体" w:hAnsi="宋体" w:eastAsia="宋体"/>
                <w:color w:val="000000" w:themeColor="text1"/>
                <w:szCs w:val="21"/>
                <w:lang w:val="en-US" w:eastAsia="zh-CN"/>
              </w:rPr>
            </w:pPr>
            <w:r>
              <w:rPr>
                <w:rFonts w:hint="eastAsia" w:ascii="宋体" w:hAnsi="宋体"/>
                <w:color w:val="000000" w:themeColor="text1"/>
                <w:szCs w:val="21"/>
                <w:lang w:val="en-US" w:eastAsia="zh-CN"/>
              </w:rPr>
              <w:t>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442" w:type="pct"/>
            <w:shd w:val="clear" w:color="auto" w:fill="auto"/>
            <w:noWrap/>
            <w:vAlign w:val="center"/>
          </w:tcPr>
          <w:p>
            <w:pPr>
              <w:jc w:val="left"/>
              <w:rPr>
                <w:rFonts w:ascii="宋体" w:hAnsi="宋体"/>
                <w:color w:val="000000" w:themeColor="text1"/>
                <w:szCs w:val="21"/>
              </w:rPr>
            </w:pPr>
            <w:r>
              <w:rPr>
                <w:rFonts w:hint="eastAsia" w:ascii="宋体" w:hAnsi="宋体"/>
                <w:color w:val="000000" w:themeColor="text1"/>
                <w:szCs w:val="21"/>
              </w:rPr>
              <w:t>5</w:t>
            </w:r>
          </w:p>
        </w:tc>
        <w:tc>
          <w:tcPr>
            <w:tcW w:w="1860" w:type="pct"/>
            <w:shd w:val="clear" w:color="auto" w:fill="auto"/>
            <w:noWrap/>
            <w:vAlign w:val="center"/>
          </w:tcPr>
          <w:p>
            <w:pPr>
              <w:jc w:val="left"/>
              <w:rPr>
                <w:rFonts w:ascii="宋体" w:hAnsi="宋体"/>
                <w:color w:val="000000" w:themeColor="text1"/>
                <w:szCs w:val="21"/>
              </w:rPr>
            </w:pPr>
            <w:r>
              <w:rPr>
                <w:rFonts w:hint="eastAsia" w:ascii="宋体" w:hAnsi="宋体"/>
                <w:color w:val="000000" w:themeColor="text1"/>
                <w:szCs w:val="21"/>
              </w:rPr>
              <w:t>透析护理包</w:t>
            </w:r>
          </w:p>
        </w:tc>
        <w:tc>
          <w:tcPr>
            <w:tcW w:w="650" w:type="pct"/>
            <w:noWrap/>
            <w:vAlign w:val="center"/>
          </w:tcPr>
          <w:p>
            <w:pPr>
              <w:jc w:val="left"/>
              <w:rPr>
                <w:rFonts w:ascii="宋体" w:hAnsi="宋体"/>
                <w:color w:val="000000" w:themeColor="text1"/>
                <w:szCs w:val="21"/>
              </w:rPr>
            </w:pPr>
            <w:r>
              <w:rPr>
                <w:rFonts w:hint="eastAsia" w:ascii="宋体" w:hAnsi="宋体"/>
                <w:color w:val="000000" w:themeColor="text1"/>
                <w:szCs w:val="21"/>
              </w:rPr>
              <w:t>1人份</w:t>
            </w:r>
          </w:p>
        </w:tc>
        <w:tc>
          <w:tcPr>
            <w:tcW w:w="837" w:type="pct"/>
          </w:tcPr>
          <w:p>
            <w:pPr>
              <w:jc w:val="left"/>
              <w:rPr>
                <w:rFonts w:hint="eastAsia" w:ascii="宋体" w:hAnsi="宋体" w:eastAsia="宋体"/>
                <w:color w:val="000000" w:themeColor="text1"/>
                <w:szCs w:val="21"/>
                <w:lang w:val="en-US" w:eastAsia="zh-CN"/>
              </w:rPr>
            </w:pPr>
            <w:r>
              <w:rPr>
                <w:rFonts w:hint="eastAsia" w:ascii="宋体" w:hAnsi="宋体"/>
                <w:color w:val="000000" w:themeColor="text1"/>
                <w:szCs w:val="21"/>
                <w:lang w:val="en-US" w:eastAsia="zh-CN"/>
              </w:rPr>
              <w:t>/</w:t>
            </w:r>
          </w:p>
        </w:tc>
        <w:tc>
          <w:tcPr>
            <w:tcW w:w="1208" w:type="pct"/>
            <w:noWrap/>
            <w:vAlign w:val="center"/>
          </w:tcPr>
          <w:p>
            <w:pPr>
              <w:jc w:val="left"/>
              <w:rPr>
                <w:rFonts w:hint="default" w:ascii="宋体" w:hAnsi="宋体" w:eastAsia="宋体"/>
                <w:color w:val="000000" w:themeColor="text1"/>
                <w:szCs w:val="21"/>
                <w:lang w:val="en-US" w:eastAsia="zh-CN"/>
              </w:rPr>
            </w:pPr>
            <w:r>
              <w:rPr>
                <w:rFonts w:hint="eastAsia" w:ascii="宋体" w:hAnsi="宋体"/>
                <w:color w:val="000000" w:themeColor="text1"/>
                <w:szCs w:val="21"/>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442" w:type="pct"/>
            <w:shd w:val="clear" w:color="auto" w:fill="auto"/>
            <w:noWrap/>
            <w:vAlign w:val="center"/>
          </w:tcPr>
          <w:p>
            <w:pPr>
              <w:jc w:val="left"/>
              <w:rPr>
                <w:rFonts w:ascii="宋体" w:hAnsi="宋体"/>
                <w:color w:val="000000" w:themeColor="text1"/>
                <w:szCs w:val="21"/>
              </w:rPr>
            </w:pPr>
            <w:r>
              <w:rPr>
                <w:rFonts w:hint="eastAsia" w:ascii="宋体" w:hAnsi="宋体"/>
                <w:color w:val="000000" w:themeColor="text1"/>
                <w:szCs w:val="21"/>
              </w:rPr>
              <w:t>6</w:t>
            </w:r>
          </w:p>
        </w:tc>
        <w:tc>
          <w:tcPr>
            <w:tcW w:w="1860" w:type="pct"/>
            <w:shd w:val="clear" w:color="auto" w:fill="auto"/>
            <w:noWrap/>
            <w:vAlign w:val="center"/>
          </w:tcPr>
          <w:p>
            <w:pPr>
              <w:jc w:val="left"/>
              <w:rPr>
                <w:rFonts w:ascii="宋体" w:hAnsi="宋体"/>
                <w:color w:val="000000" w:themeColor="text1"/>
                <w:szCs w:val="21"/>
              </w:rPr>
            </w:pPr>
            <w:r>
              <w:rPr>
                <w:rFonts w:hint="eastAsia" w:ascii="宋体" w:hAnsi="宋体"/>
                <w:color w:val="000000" w:themeColor="text1"/>
                <w:szCs w:val="21"/>
              </w:rPr>
              <w:t>低通量透析器（1）</w:t>
            </w:r>
          </w:p>
        </w:tc>
        <w:tc>
          <w:tcPr>
            <w:tcW w:w="650" w:type="pct"/>
            <w:noWrap/>
            <w:vAlign w:val="center"/>
          </w:tcPr>
          <w:p>
            <w:pPr>
              <w:jc w:val="left"/>
              <w:rPr>
                <w:rFonts w:ascii="宋体" w:hAnsi="宋体"/>
                <w:color w:val="000000" w:themeColor="text1"/>
                <w:szCs w:val="21"/>
              </w:rPr>
            </w:pPr>
            <w:r>
              <w:rPr>
                <w:rFonts w:hint="eastAsia" w:ascii="宋体" w:hAnsi="宋体"/>
                <w:color w:val="000000" w:themeColor="text1"/>
                <w:szCs w:val="21"/>
              </w:rPr>
              <w:t>1人份</w:t>
            </w:r>
          </w:p>
        </w:tc>
        <w:tc>
          <w:tcPr>
            <w:tcW w:w="837" w:type="pct"/>
          </w:tcPr>
          <w:p>
            <w:pPr>
              <w:jc w:val="left"/>
              <w:rPr>
                <w:rFonts w:ascii="宋体" w:hAnsi="宋体"/>
                <w:color w:val="000000" w:themeColor="text1"/>
                <w:szCs w:val="21"/>
              </w:rPr>
            </w:pPr>
          </w:p>
        </w:tc>
        <w:tc>
          <w:tcPr>
            <w:tcW w:w="1208" w:type="pct"/>
            <w:noWrap/>
            <w:vAlign w:val="center"/>
          </w:tcPr>
          <w:p>
            <w:pPr>
              <w:jc w:val="left"/>
              <w:rPr>
                <w:rFonts w:hint="default" w:ascii="宋体" w:hAnsi="宋体" w:eastAsia="宋体"/>
                <w:color w:val="000000" w:themeColor="text1"/>
                <w:szCs w:val="21"/>
                <w:lang w:val="en-US" w:eastAsia="zh-CN"/>
              </w:rPr>
            </w:pPr>
            <w:r>
              <w:rPr>
                <w:rFonts w:hint="eastAsia" w:ascii="宋体" w:hAnsi="宋体"/>
                <w:color w:val="000000" w:themeColor="text1"/>
                <w:szCs w:val="21"/>
                <w:lang w:val="en-US" w:eastAsia="zh-CN"/>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442" w:type="pct"/>
            <w:shd w:val="clear" w:color="auto" w:fill="auto"/>
            <w:noWrap/>
            <w:vAlign w:val="center"/>
          </w:tcPr>
          <w:p>
            <w:pPr>
              <w:jc w:val="left"/>
              <w:rPr>
                <w:rFonts w:ascii="宋体" w:hAnsi="宋体"/>
                <w:color w:val="000000" w:themeColor="text1"/>
                <w:szCs w:val="21"/>
              </w:rPr>
            </w:pPr>
            <w:r>
              <w:rPr>
                <w:rFonts w:hint="eastAsia" w:ascii="宋体" w:hAnsi="宋体"/>
                <w:color w:val="000000" w:themeColor="text1"/>
                <w:szCs w:val="21"/>
              </w:rPr>
              <w:t>7</w:t>
            </w:r>
          </w:p>
        </w:tc>
        <w:tc>
          <w:tcPr>
            <w:tcW w:w="1860" w:type="pct"/>
            <w:shd w:val="clear" w:color="auto" w:fill="auto"/>
            <w:noWrap/>
            <w:vAlign w:val="center"/>
          </w:tcPr>
          <w:p>
            <w:pPr>
              <w:jc w:val="left"/>
              <w:rPr>
                <w:rFonts w:ascii="宋体" w:hAnsi="宋体"/>
                <w:color w:val="000000" w:themeColor="text1"/>
                <w:szCs w:val="21"/>
              </w:rPr>
            </w:pPr>
            <w:r>
              <w:rPr>
                <w:rFonts w:hint="eastAsia" w:ascii="宋体" w:hAnsi="宋体"/>
                <w:color w:val="000000" w:themeColor="text1"/>
                <w:szCs w:val="21"/>
              </w:rPr>
              <w:t>低通量透析器（2）</w:t>
            </w:r>
          </w:p>
        </w:tc>
        <w:tc>
          <w:tcPr>
            <w:tcW w:w="650" w:type="pct"/>
            <w:noWrap/>
            <w:vAlign w:val="center"/>
          </w:tcPr>
          <w:p>
            <w:pPr>
              <w:jc w:val="left"/>
              <w:rPr>
                <w:rFonts w:ascii="宋体" w:hAnsi="宋体"/>
                <w:color w:val="000000" w:themeColor="text1"/>
                <w:szCs w:val="21"/>
              </w:rPr>
            </w:pPr>
            <w:r>
              <w:rPr>
                <w:rFonts w:hint="eastAsia" w:ascii="宋体" w:hAnsi="宋体"/>
                <w:color w:val="000000" w:themeColor="text1"/>
                <w:szCs w:val="21"/>
              </w:rPr>
              <w:t>1人份</w:t>
            </w:r>
          </w:p>
        </w:tc>
        <w:tc>
          <w:tcPr>
            <w:tcW w:w="837" w:type="pct"/>
          </w:tcPr>
          <w:p>
            <w:pPr>
              <w:jc w:val="left"/>
              <w:rPr>
                <w:rFonts w:ascii="宋体" w:hAnsi="宋体"/>
                <w:color w:val="000000" w:themeColor="text1"/>
                <w:szCs w:val="21"/>
              </w:rPr>
            </w:pPr>
          </w:p>
        </w:tc>
        <w:tc>
          <w:tcPr>
            <w:tcW w:w="1208" w:type="pct"/>
            <w:noWrap/>
            <w:vAlign w:val="center"/>
          </w:tcPr>
          <w:p>
            <w:pPr>
              <w:jc w:val="left"/>
              <w:rPr>
                <w:rFonts w:hint="default" w:ascii="宋体" w:hAnsi="宋体" w:eastAsia="宋体"/>
                <w:color w:val="000000" w:themeColor="text1"/>
                <w:szCs w:val="21"/>
                <w:lang w:val="en-US" w:eastAsia="zh-CN"/>
              </w:rPr>
            </w:pPr>
            <w:r>
              <w:rPr>
                <w:rFonts w:hint="eastAsia" w:ascii="宋体" w:hAnsi="宋体"/>
                <w:color w:val="000000" w:themeColor="text1"/>
                <w:szCs w:val="21"/>
                <w:lang w:val="en-US" w:eastAsia="zh-CN"/>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442" w:type="pct"/>
            <w:shd w:val="clear" w:color="auto" w:fill="auto"/>
            <w:noWrap/>
            <w:vAlign w:val="center"/>
          </w:tcPr>
          <w:p>
            <w:pPr>
              <w:jc w:val="left"/>
              <w:rPr>
                <w:rFonts w:ascii="宋体" w:hAnsi="宋体"/>
                <w:color w:val="000000" w:themeColor="text1"/>
                <w:szCs w:val="21"/>
              </w:rPr>
            </w:pPr>
            <w:r>
              <w:rPr>
                <w:rFonts w:hint="eastAsia" w:ascii="宋体" w:hAnsi="宋体"/>
                <w:color w:val="000000" w:themeColor="text1"/>
                <w:szCs w:val="21"/>
              </w:rPr>
              <w:t>8</w:t>
            </w:r>
          </w:p>
        </w:tc>
        <w:tc>
          <w:tcPr>
            <w:tcW w:w="1860" w:type="pct"/>
            <w:shd w:val="clear" w:color="auto" w:fill="auto"/>
            <w:noWrap/>
            <w:vAlign w:val="center"/>
          </w:tcPr>
          <w:p>
            <w:pPr>
              <w:jc w:val="left"/>
              <w:rPr>
                <w:rFonts w:ascii="宋体" w:hAnsi="宋体"/>
                <w:color w:val="000000" w:themeColor="text1"/>
                <w:szCs w:val="21"/>
              </w:rPr>
            </w:pPr>
            <w:r>
              <w:rPr>
                <w:rFonts w:hint="eastAsia" w:ascii="宋体" w:hAnsi="宋体"/>
                <w:color w:val="000000" w:themeColor="text1"/>
                <w:szCs w:val="21"/>
              </w:rPr>
              <w:t>高通量透析器</w:t>
            </w:r>
          </w:p>
        </w:tc>
        <w:tc>
          <w:tcPr>
            <w:tcW w:w="650" w:type="pct"/>
            <w:noWrap/>
            <w:vAlign w:val="center"/>
          </w:tcPr>
          <w:p>
            <w:pPr>
              <w:jc w:val="left"/>
              <w:rPr>
                <w:rFonts w:ascii="宋体" w:hAnsi="宋体"/>
                <w:color w:val="000000" w:themeColor="text1"/>
                <w:szCs w:val="21"/>
              </w:rPr>
            </w:pPr>
            <w:r>
              <w:rPr>
                <w:rFonts w:hint="eastAsia" w:ascii="宋体" w:hAnsi="宋体"/>
                <w:color w:val="000000" w:themeColor="text1"/>
                <w:szCs w:val="21"/>
              </w:rPr>
              <w:t>1人份</w:t>
            </w:r>
          </w:p>
        </w:tc>
        <w:tc>
          <w:tcPr>
            <w:tcW w:w="837" w:type="pct"/>
          </w:tcPr>
          <w:p>
            <w:pPr>
              <w:jc w:val="left"/>
              <w:rPr>
                <w:rFonts w:ascii="宋体" w:hAnsi="宋体"/>
                <w:color w:val="000000" w:themeColor="text1"/>
                <w:szCs w:val="21"/>
              </w:rPr>
            </w:pPr>
          </w:p>
        </w:tc>
        <w:tc>
          <w:tcPr>
            <w:tcW w:w="1208" w:type="pct"/>
            <w:noWrap/>
            <w:vAlign w:val="center"/>
          </w:tcPr>
          <w:p>
            <w:pPr>
              <w:jc w:val="left"/>
              <w:rPr>
                <w:rFonts w:hint="default" w:ascii="宋体" w:hAnsi="宋体" w:eastAsia="宋体"/>
                <w:color w:val="000000" w:themeColor="text1"/>
                <w:szCs w:val="21"/>
                <w:lang w:val="en-US" w:eastAsia="zh-CN"/>
              </w:rPr>
            </w:pPr>
            <w:r>
              <w:rPr>
                <w:rFonts w:hint="eastAsia" w:ascii="宋体" w:hAnsi="宋体"/>
                <w:color w:val="000000" w:themeColor="text1"/>
                <w:szCs w:val="21"/>
                <w:lang w:val="en-US" w:eastAsia="zh-CN"/>
              </w:rPr>
              <w:t>70</w:t>
            </w:r>
          </w:p>
        </w:tc>
      </w:tr>
    </w:tbl>
    <w:p>
      <w:pPr>
        <w:jc w:val="center"/>
        <w:rPr>
          <w:rFonts w:hint="default" w:eastAsia="宋体"/>
          <w:lang w:val="en-US" w:eastAsia="zh-CN"/>
        </w:rPr>
      </w:pPr>
      <w:r>
        <w:rPr>
          <w:rFonts w:hint="eastAsia"/>
          <w:lang w:val="en-US" w:eastAsia="zh-CN"/>
        </w:rPr>
        <w:t>最高投标限价单价</w:t>
      </w:r>
    </w:p>
    <w:p>
      <w:pPr>
        <w:jc w:val="center"/>
        <w:rPr>
          <w:rFonts w:hint="eastAsia"/>
        </w:rPr>
      </w:pPr>
    </w:p>
    <w:p>
      <w:pPr>
        <w:jc w:val="center"/>
        <w:rPr>
          <w:rFonts w:hint="eastAsia"/>
        </w:rPr>
      </w:pPr>
    </w:p>
    <w:p>
      <w:pPr>
        <w:pStyle w:val="27"/>
        <w:rPr>
          <w:rFonts w:hint="eastAsia"/>
        </w:rPr>
      </w:pPr>
    </w:p>
    <w:p>
      <w:pPr>
        <w:spacing w:line="360" w:lineRule="auto"/>
        <w:ind w:firstLine="480" w:firstLineChars="200"/>
        <w:rPr>
          <w:rFonts w:hAnsi="宋体"/>
          <w:sz w:val="24"/>
        </w:rPr>
      </w:pPr>
    </w:p>
    <w:p>
      <w:pPr>
        <w:rPr>
          <w:rFonts w:hint="eastAsia"/>
        </w:rPr>
      </w:pPr>
      <w:bookmarkStart w:id="45" w:name="_Toc5725"/>
      <w:bookmarkStart w:id="46" w:name="_Toc14682"/>
      <w:bookmarkStart w:id="47" w:name="_Toc32050"/>
      <w:bookmarkStart w:id="48" w:name="_Toc2782"/>
    </w:p>
    <w:p>
      <w:pPr>
        <w:pStyle w:val="5"/>
        <w:rPr>
          <w:rFonts w:hint="eastAsia" w:asciiTheme="minorEastAsia" w:hAnsiTheme="minorEastAsia" w:eastAsiaTheme="minorEastAsia" w:cstheme="minorEastAsia"/>
          <w:lang w:val="en-US" w:eastAsia="zh-CN"/>
        </w:rPr>
      </w:pPr>
    </w:p>
    <w:p>
      <w:pPr>
        <w:pStyle w:val="3"/>
        <w:numPr>
          <w:ilvl w:val="0"/>
          <w:numId w:val="0"/>
        </w:numPr>
        <w:jc w:val="center"/>
        <w:rPr>
          <w:rFonts w:hint="eastAsia"/>
        </w:rPr>
      </w:pPr>
      <w:r>
        <w:rPr>
          <w:rFonts w:hint="eastAsia" w:asciiTheme="minorEastAsia" w:hAnsiTheme="minorEastAsia" w:eastAsiaTheme="minorEastAsia" w:cstheme="minorEastAsia"/>
          <w:lang w:val="en-US" w:eastAsia="zh-CN"/>
        </w:rPr>
        <w:t xml:space="preserve">第二章  </w:t>
      </w:r>
      <w:r>
        <w:rPr>
          <w:rFonts w:hint="eastAsia" w:asciiTheme="minorEastAsia" w:hAnsiTheme="minorEastAsia" w:eastAsiaTheme="minorEastAsia" w:cstheme="minorEastAsia"/>
        </w:rPr>
        <w:t>投标人须知</w:t>
      </w:r>
      <w:bookmarkEnd w:id="45"/>
      <w:bookmarkEnd w:id="46"/>
      <w:bookmarkEnd w:id="47"/>
      <w:bookmarkEnd w:id="48"/>
      <w:bookmarkStart w:id="49" w:name="_Toc27607"/>
      <w:bookmarkStart w:id="50" w:name="_Toc68592969"/>
      <w:bookmarkStart w:id="51" w:name="_Toc14999"/>
    </w:p>
    <w:p>
      <w:pPr>
        <w:pStyle w:val="58"/>
      </w:pPr>
      <w:r>
        <w:rPr>
          <w:rFonts w:hint="eastAsia"/>
        </w:rPr>
        <w:t>第一节  投标人须知前附表</w:t>
      </w:r>
      <w:bookmarkEnd w:id="49"/>
      <w:bookmarkEnd w:id="50"/>
    </w:p>
    <w:tbl>
      <w:tblPr>
        <w:tblStyle w:val="28"/>
        <w:tblW w:w="928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8"/>
        <w:gridCol w:w="2012"/>
        <w:gridCol w:w="66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ind w:right="-358"/>
              <w:rPr>
                <w:rFonts w:ascii="宋体" w:hAnsi="宋体"/>
                <w:szCs w:val="21"/>
              </w:rPr>
            </w:pPr>
            <w:r>
              <w:rPr>
                <w:rFonts w:hint="eastAsia" w:ascii="宋体" w:hAnsi="宋体"/>
                <w:szCs w:val="21"/>
              </w:rPr>
              <w:t>序号</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内容</w:t>
            </w:r>
          </w:p>
        </w:tc>
        <w:tc>
          <w:tcPr>
            <w:tcW w:w="6626" w:type="dxa"/>
            <w:tcBorders>
              <w:top w:val="single" w:color="auto" w:sz="4" w:space="0"/>
              <w:left w:val="single" w:color="auto" w:sz="4" w:space="0"/>
              <w:bottom w:val="single" w:color="auto" w:sz="4" w:space="0"/>
              <w:right w:val="single" w:color="auto" w:sz="4" w:space="0"/>
            </w:tcBorders>
            <w:vAlign w:val="center"/>
          </w:tcPr>
          <w:p>
            <w:pPr>
              <w:tabs>
                <w:tab w:val="left" w:pos="1180"/>
              </w:tabs>
              <w:spacing w:line="420" w:lineRule="exact"/>
              <w:jc w:val="center"/>
              <w:rPr>
                <w:rFonts w:ascii="宋体" w:hAnsi="宋体"/>
                <w:szCs w:val="21"/>
              </w:rPr>
            </w:pPr>
            <w:r>
              <w:rPr>
                <w:rFonts w:hint="eastAsia" w:ascii="宋体" w:hAnsi="宋体"/>
                <w:szCs w:val="21"/>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1</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项目编号</w:t>
            </w:r>
          </w:p>
        </w:tc>
        <w:tc>
          <w:tcPr>
            <w:tcW w:w="6626" w:type="dxa"/>
            <w:tcBorders>
              <w:top w:val="single" w:color="auto" w:sz="4" w:space="0"/>
              <w:left w:val="single" w:color="auto" w:sz="4" w:space="0"/>
              <w:bottom w:val="single" w:color="auto" w:sz="4" w:space="0"/>
              <w:right w:val="single" w:color="auto" w:sz="4" w:space="0"/>
            </w:tcBorders>
            <w:vAlign w:val="center"/>
          </w:tcPr>
          <w:p>
            <w:pPr>
              <w:spacing w:line="420" w:lineRule="exact"/>
              <w:rPr>
                <w:rFonts w:hint="default" w:ascii="宋体" w:hAnsi="宋体" w:eastAsia="宋体"/>
                <w:szCs w:val="21"/>
                <w:lang w:val="en-US" w:eastAsia="zh-CN"/>
              </w:rPr>
            </w:pPr>
            <w:r>
              <w:rPr>
                <w:rFonts w:hint="eastAsia" w:ascii="宋体" w:hAnsi="宋体"/>
                <w:szCs w:val="21"/>
                <w:lang w:eastAsia="zh-CN"/>
              </w:rPr>
              <w:t>皖TJ-CG220</w:t>
            </w:r>
            <w:r>
              <w:rPr>
                <w:rFonts w:hint="eastAsia" w:ascii="宋体" w:hAnsi="宋体"/>
                <w:szCs w:val="21"/>
                <w:lang w:val="en-US" w:eastAsia="zh-CN"/>
              </w:rPr>
              <w:t>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2</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项目名称</w:t>
            </w:r>
          </w:p>
        </w:tc>
        <w:tc>
          <w:tcPr>
            <w:tcW w:w="6626"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cs="宋体"/>
                <w:szCs w:val="21"/>
                <w:lang w:eastAsia="zh-CN"/>
              </w:rPr>
              <w:t>潜山市第一人民医院血透耗材采购项目</w:t>
            </w:r>
            <w:r>
              <w:rPr>
                <w:rFonts w:hint="eastAsia" w:ascii="宋体" w:hAnsi="宋体" w:cs="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3</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采购人</w:t>
            </w:r>
          </w:p>
        </w:tc>
        <w:tc>
          <w:tcPr>
            <w:tcW w:w="6626" w:type="dxa"/>
            <w:tcBorders>
              <w:top w:val="single" w:color="auto" w:sz="4" w:space="0"/>
              <w:left w:val="single" w:color="auto" w:sz="4" w:space="0"/>
              <w:bottom w:val="single" w:color="auto" w:sz="4" w:space="0"/>
              <w:right w:val="single" w:color="auto" w:sz="4" w:space="0"/>
            </w:tcBorders>
            <w:vAlign w:val="center"/>
          </w:tcPr>
          <w:p>
            <w:pPr>
              <w:spacing w:line="420" w:lineRule="exact"/>
              <w:rPr>
                <w:rFonts w:hint="eastAsia" w:ascii="宋体" w:hAnsi="宋体" w:eastAsia="宋体"/>
                <w:szCs w:val="21"/>
                <w:lang w:eastAsia="zh-CN"/>
              </w:rPr>
            </w:pPr>
            <w:r>
              <w:rPr>
                <w:rFonts w:hint="eastAsia" w:ascii="宋体" w:hAnsi="宋体" w:cs="宋体"/>
                <w:szCs w:val="21"/>
                <w:lang w:eastAsia="zh-CN"/>
              </w:rPr>
              <w:t>潜山市第一人民医院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4</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采购代理机构</w:t>
            </w:r>
          </w:p>
        </w:tc>
        <w:tc>
          <w:tcPr>
            <w:tcW w:w="6626"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kern w:val="0"/>
                <w:szCs w:val="21"/>
              </w:rPr>
            </w:pPr>
            <w:r>
              <w:rPr>
                <w:rFonts w:hint="eastAsia" w:ascii="宋体" w:hAnsi="宋体" w:cs="宋体"/>
                <w:szCs w:val="21"/>
              </w:rPr>
              <w:t>安徽泰杰工程咨询有限公司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5</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采购方式</w:t>
            </w:r>
          </w:p>
        </w:tc>
        <w:tc>
          <w:tcPr>
            <w:tcW w:w="6626"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公开招标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6</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包别划分</w:t>
            </w:r>
          </w:p>
        </w:tc>
        <w:tc>
          <w:tcPr>
            <w:tcW w:w="6626"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一个包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7</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资金来源</w:t>
            </w:r>
          </w:p>
        </w:tc>
        <w:tc>
          <w:tcPr>
            <w:tcW w:w="6626"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cs="宋体"/>
                <w:szCs w:val="21"/>
              </w:rPr>
              <w:t>自筹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8</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hint="default" w:ascii="宋体" w:hAnsi="宋体" w:eastAsia="宋体"/>
                <w:szCs w:val="21"/>
                <w:lang w:val="en-US" w:eastAsia="zh-CN"/>
              </w:rPr>
            </w:pPr>
            <w:r>
              <w:rPr>
                <w:rFonts w:hint="eastAsia"/>
                <w:szCs w:val="21"/>
              </w:rPr>
              <w:t>最高投标</w:t>
            </w:r>
            <w:r>
              <w:rPr>
                <w:rFonts w:hint="eastAsia"/>
                <w:szCs w:val="21"/>
                <w:lang w:val="en-US" w:eastAsia="zh-CN"/>
              </w:rPr>
              <w:t>限价单价</w:t>
            </w:r>
          </w:p>
        </w:tc>
        <w:tc>
          <w:tcPr>
            <w:tcW w:w="6626" w:type="dxa"/>
            <w:tcBorders>
              <w:top w:val="single" w:color="auto" w:sz="4" w:space="0"/>
              <w:left w:val="single" w:color="auto" w:sz="4" w:space="0"/>
              <w:bottom w:val="single" w:color="auto" w:sz="4" w:space="0"/>
              <w:right w:val="single" w:color="auto" w:sz="4" w:space="0"/>
            </w:tcBorders>
            <w:vAlign w:val="center"/>
          </w:tcPr>
          <w:p>
            <w:pPr>
              <w:rPr>
                <w:rFonts w:hint="default" w:ascii="宋体" w:hAnsi="宋体" w:eastAsia="宋体" w:cs="宋体"/>
                <w:szCs w:val="21"/>
                <w:lang w:val="en-US" w:eastAsia="zh-CN"/>
              </w:rPr>
            </w:pPr>
            <w:r>
              <w:rPr>
                <w:rFonts w:hint="eastAsia" w:ascii="宋体" w:hAnsi="宋体" w:cs="宋体"/>
                <w:szCs w:val="21"/>
                <w:lang w:val="en-US" w:eastAsia="zh-CN"/>
              </w:rPr>
              <w:t>详见参数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9</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项目地点</w:t>
            </w:r>
          </w:p>
        </w:tc>
        <w:tc>
          <w:tcPr>
            <w:tcW w:w="6626"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10</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服务期限</w:t>
            </w:r>
          </w:p>
        </w:tc>
        <w:tc>
          <w:tcPr>
            <w:tcW w:w="6626" w:type="dxa"/>
            <w:tcBorders>
              <w:top w:val="single" w:color="auto" w:sz="4" w:space="0"/>
              <w:left w:val="single" w:color="auto" w:sz="4" w:space="0"/>
              <w:bottom w:val="single" w:color="auto" w:sz="4" w:space="0"/>
              <w:right w:val="single" w:color="auto" w:sz="4" w:space="0"/>
            </w:tcBorders>
            <w:vAlign w:val="center"/>
          </w:tcPr>
          <w:p>
            <w:pPr>
              <w:autoSpaceDE w:val="0"/>
              <w:jc w:val="left"/>
              <w:rPr>
                <w:rFonts w:ascii="宋体" w:hAnsi="宋体"/>
                <w:szCs w:val="21"/>
              </w:rPr>
            </w:pPr>
            <w:r>
              <w:rPr>
                <w:rFonts w:hint="eastAsia" w:ascii="宋体" w:hAnsi="宋体" w:cs="Times New Roman"/>
                <w:szCs w:val="21"/>
                <w:lang w:val="en-US" w:eastAsia="zh-CN"/>
              </w:rPr>
              <w:t>一</w:t>
            </w:r>
            <w:r>
              <w:rPr>
                <w:rFonts w:hint="eastAsia" w:ascii="宋体" w:hAnsi="宋体" w:cs="Times New Roman"/>
                <w:szCs w:val="21"/>
              </w:rPr>
              <w:t>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11</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资格要求</w:t>
            </w:r>
          </w:p>
        </w:tc>
        <w:tc>
          <w:tcPr>
            <w:tcW w:w="662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12</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资格审查方式</w:t>
            </w:r>
          </w:p>
        </w:tc>
        <w:tc>
          <w:tcPr>
            <w:tcW w:w="6626"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资格后审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13</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投标有效期</w:t>
            </w:r>
          </w:p>
        </w:tc>
        <w:tc>
          <w:tcPr>
            <w:tcW w:w="6626" w:type="dxa"/>
            <w:tcBorders>
              <w:top w:val="single" w:color="auto" w:sz="4" w:space="0"/>
              <w:left w:val="single" w:color="auto" w:sz="4" w:space="0"/>
              <w:bottom w:val="single" w:color="auto" w:sz="4" w:space="0"/>
              <w:right w:val="single" w:color="auto" w:sz="4" w:space="0"/>
            </w:tcBorders>
            <w:vAlign w:val="center"/>
          </w:tcPr>
          <w:p>
            <w:pPr>
              <w:spacing w:line="420" w:lineRule="exact"/>
              <w:ind w:left="-2" w:leftChars="-1" w:firstLine="2"/>
              <w:rPr>
                <w:rFonts w:ascii="宋体" w:hAnsi="宋体"/>
                <w:szCs w:val="21"/>
              </w:rPr>
            </w:pPr>
            <w:r>
              <w:rPr>
                <w:rFonts w:hint="eastAsia" w:ascii="宋体" w:hAnsi="宋体"/>
                <w:szCs w:val="21"/>
              </w:rPr>
              <w:t>180日历天（从投标截止时间算起）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14</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投标保证金</w:t>
            </w:r>
          </w:p>
        </w:tc>
        <w:tc>
          <w:tcPr>
            <w:tcW w:w="6626"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b/>
                <w:spacing w:val="-14"/>
                <w:szCs w:val="21"/>
              </w:rPr>
            </w:pPr>
            <w:r>
              <w:rPr>
                <w:rFonts w:ascii="宋体" w:hAnsi="宋体"/>
                <w:b/>
                <w:spacing w:val="-14"/>
                <w:szCs w:val="21"/>
              </w:rPr>
              <w:t>本项目免收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15</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b/>
                <w:kern w:val="0"/>
              </w:rPr>
              <w:t>投标文件份数及装订要求</w:t>
            </w:r>
          </w:p>
        </w:tc>
        <w:tc>
          <w:tcPr>
            <w:tcW w:w="662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40" w:lineRule="exact"/>
              <w:rPr>
                <w:rFonts w:ascii="宋体" w:hAnsi="宋体" w:cs="宋体"/>
                <w:b/>
                <w:szCs w:val="21"/>
              </w:rPr>
            </w:pPr>
            <w:r>
              <w:rPr>
                <w:rFonts w:ascii="宋体" w:hAnsi="宋体" w:cs="宋体"/>
                <w:b/>
                <w:szCs w:val="21"/>
              </w:rPr>
              <w:fldChar w:fldCharType="begin"/>
            </w:r>
            <w:r>
              <w:rPr>
                <w:rFonts w:ascii="宋体" w:hAnsi="宋体" w:cs="宋体"/>
                <w:b/>
                <w:szCs w:val="21"/>
              </w:rPr>
              <w:instrText xml:space="preserve"> </w:instrText>
            </w:r>
            <w:r>
              <w:rPr>
                <w:rFonts w:hint="eastAsia" w:ascii="宋体" w:hAnsi="宋体" w:cs="宋体"/>
                <w:b/>
                <w:szCs w:val="21"/>
              </w:rPr>
              <w:instrText xml:space="preserve">eq \o\ac(○,1)</w:instrText>
            </w:r>
            <w:r>
              <w:rPr>
                <w:rFonts w:ascii="宋体" w:hAnsi="宋体" w:cs="宋体"/>
                <w:b/>
                <w:szCs w:val="21"/>
              </w:rPr>
              <w:fldChar w:fldCharType="end"/>
            </w:r>
            <w:r>
              <w:rPr>
                <w:rFonts w:hint="eastAsia" w:ascii="宋体" w:hAnsi="宋体" w:cs="宋体"/>
                <w:b/>
                <w:szCs w:val="21"/>
              </w:rPr>
              <w:t>投标文件份数：正本壹份，副本叁份</w:t>
            </w:r>
          </w:p>
          <w:p>
            <w:pPr>
              <w:autoSpaceDE w:val="0"/>
              <w:autoSpaceDN w:val="0"/>
              <w:adjustRightInd w:val="0"/>
              <w:spacing w:line="440" w:lineRule="exact"/>
              <w:rPr>
                <w:rFonts w:ascii="宋体" w:hAnsi="宋体" w:cs="宋体"/>
                <w:szCs w:val="21"/>
              </w:rPr>
            </w:pPr>
            <w:r>
              <w:rPr>
                <w:rFonts w:ascii="宋体" w:hAnsi="宋体" w:cs="宋体"/>
                <w:szCs w:val="21"/>
              </w:rPr>
              <w:t>装订要求：</w:t>
            </w:r>
          </w:p>
          <w:p>
            <w:pPr>
              <w:autoSpaceDE w:val="0"/>
              <w:autoSpaceDN w:val="0"/>
              <w:adjustRightInd w:val="0"/>
              <w:spacing w:line="440" w:lineRule="exact"/>
              <w:ind w:leftChars="-4" w:hanging="8" w:hangingChars="4"/>
              <w:rPr>
                <w:rFonts w:ascii="宋体" w:hAnsi="宋体" w:cs="宋体"/>
                <w:szCs w:val="21"/>
              </w:rPr>
            </w:pPr>
            <w:r>
              <w:rPr>
                <w:rFonts w:hint="eastAsia" w:ascii="宋体" w:hAnsi="宋体" w:cs="宋体"/>
                <w:szCs w:val="21"/>
              </w:rPr>
              <w:t>√</w:t>
            </w:r>
            <w:r>
              <w:rPr>
                <w:rFonts w:ascii="宋体" w:hAnsi="宋体" w:cs="宋体"/>
                <w:szCs w:val="21"/>
              </w:rPr>
              <w:t>□不分册装订（</w:t>
            </w:r>
            <w:r>
              <w:rPr>
                <w:rFonts w:hint="eastAsia" w:ascii="宋体" w:hAnsi="宋体" w:cs="宋体"/>
                <w:b/>
                <w:szCs w:val="21"/>
              </w:rPr>
              <w:t>须</w:t>
            </w:r>
            <w:r>
              <w:rPr>
                <w:rFonts w:ascii="宋体" w:hAnsi="宋体" w:cs="宋体"/>
                <w:b/>
                <w:szCs w:val="21"/>
              </w:rPr>
              <w:t>在投标文件商务标</w:t>
            </w:r>
            <w:r>
              <w:rPr>
                <w:rFonts w:hint="eastAsia" w:ascii="宋体" w:hAnsi="宋体" w:cs="宋体"/>
                <w:b/>
                <w:szCs w:val="21"/>
              </w:rPr>
              <w:t>封面分别相应地</w:t>
            </w:r>
            <w:r>
              <w:rPr>
                <w:rFonts w:ascii="宋体" w:hAnsi="宋体" w:cs="宋体"/>
                <w:b/>
                <w:szCs w:val="21"/>
              </w:rPr>
              <w:t>标注</w:t>
            </w:r>
            <w:r>
              <w:rPr>
                <w:rFonts w:hint="eastAsia" w:ascii="宋体" w:hAnsi="宋体" w:cs="宋体"/>
                <w:b/>
                <w:szCs w:val="21"/>
              </w:rPr>
              <w:t>“</w:t>
            </w:r>
            <w:r>
              <w:rPr>
                <w:rFonts w:ascii="宋体" w:hAnsi="宋体" w:cs="宋体"/>
                <w:b/>
                <w:szCs w:val="21"/>
              </w:rPr>
              <w:t>正</w:t>
            </w:r>
            <w:r>
              <w:rPr>
                <w:rFonts w:hint="eastAsia" w:ascii="宋体" w:hAnsi="宋体" w:cs="宋体"/>
                <w:b/>
                <w:szCs w:val="21"/>
              </w:rPr>
              <w:t>本”或“</w:t>
            </w:r>
            <w:r>
              <w:rPr>
                <w:rFonts w:ascii="宋体" w:hAnsi="宋体" w:cs="宋体"/>
                <w:b/>
                <w:szCs w:val="21"/>
              </w:rPr>
              <w:t>副本</w:t>
            </w:r>
            <w:r>
              <w:rPr>
                <w:rFonts w:hint="eastAsia" w:ascii="宋体" w:hAnsi="宋体" w:cs="宋体"/>
                <w:b/>
                <w:szCs w:val="21"/>
              </w:rPr>
              <w:t>”</w:t>
            </w:r>
            <w:r>
              <w:rPr>
                <w:rFonts w:ascii="宋体" w:hAnsi="宋体" w:cs="宋体"/>
                <w:szCs w:val="21"/>
              </w:rPr>
              <w:t>字样）</w:t>
            </w:r>
          </w:p>
          <w:p>
            <w:pPr>
              <w:autoSpaceDE w:val="0"/>
              <w:autoSpaceDN w:val="0"/>
              <w:adjustRightInd w:val="0"/>
              <w:spacing w:line="440" w:lineRule="exact"/>
              <w:ind w:firstLine="222" w:firstLineChars="106"/>
              <w:rPr>
                <w:rFonts w:ascii="宋体" w:hAnsi="宋体" w:cs="宋体"/>
                <w:szCs w:val="21"/>
              </w:rPr>
            </w:pPr>
            <w:r>
              <w:rPr>
                <w:rFonts w:ascii="宋体" w:hAnsi="宋体" w:cs="宋体"/>
                <w:szCs w:val="21"/>
              </w:rPr>
              <w:t>□分册装订，共分</w:t>
            </w:r>
            <w:r>
              <w:rPr>
                <w:rFonts w:hint="eastAsia" w:ascii="宋体" w:hAnsi="宋体" w:cs="宋体"/>
                <w:szCs w:val="21"/>
              </w:rPr>
              <w:t>　册</w:t>
            </w:r>
            <w:r>
              <w:rPr>
                <w:rFonts w:ascii="宋体" w:hAnsi="宋体" w:cs="宋体"/>
                <w:szCs w:val="21"/>
              </w:rPr>
              <w:t>，分别为：</w:t>
            </w:r>
          </w:p>
          <w:p>
            <w:pPr>
              <w:spacing w:line="360" w:lineRule="auto"/>
              <w:ind w:left="360"/>
              <w:rPr>
                <w:rFonts w:ascii="宋体" w:hAnsi="宋体" w:cs="宋体"/>
                <w:szCs w:val="21"/>
              </w:rPr>
            </w:pPr>
            <w:r>
              <w:rPr>
                <w:rFonts w:ascii="宋体" w:hAnsi="宋体" w:cs="宋体"/>
                <w:szCs w:val="21"/>
              </w:rPr>
              <w:t>采用</w:t>
            </w:r>
            <w:r>
              <w:rPr>
                <w:rFonts w:hint="eastAsia" w:ascii="宋体" w:hAnsi="宋体" w:cs="宋体"/>
                <w:szCs w:val="21"/>
              </w:rPr>
              <w:t>固定</w:t>
            </w:r>
            <w:r>
              <w:rPr>
                <w:rFonts w:ascii="宋体" w:hAnsi="宋体" w:cs="宋体"/>
                <w:szCs w:val="21"/>
              </w:rPr>
              <w:t>方式装订，装订应牢固、不易拆散和换页，不得采用活页装订</w:t>
            </w:r>
          </w:p>
          <w:p>
            <w:pPr>
              <w:rPr>
                <w:rFonts w:ascii="宋体" w:hAnsi="宋体"/>
                <w:kern w:val="0"/>
                <w:szCs w:val="21"/>
              </w:rPr>
            </w:pPr>
            <w:r>
              <w:rPr>
                <w:rFonts w:ascii="宋体" w:hAnsi="宋体" w:cs="宋体"/>
                <w:b/>
                <w:szCs w:val="21"/>
              </w:rPr>
              <w:fldChar w:fldCharType="begin"/>
            </w:r>
            <w:r>
              <w:rPr>
                <w:rFonts w:ascii="宋体" w:hAnsi="宋体" w:cs="宋体"/>
                <w:b/>
                <w:szCs w:val="21"/>
              </w:rPr>
              <w:instrText xml:space="preserve"> </w:instrText>
            </w:r>
            <w:r>
              <w:rPr>
                <w:rFonts w:hint="eastAsia" w:ascii="宋体" w:hAnsi="宋体" w:cs="宋体"/>
                <w:b/>
                <w:szCs w:val="21"/>
              </w:rPr>
              <w:instrText xml:space="preserve">eq \o\ac(○,2)</w:instrText>
            </w:r>
            <w:r>
              <w:rPr>
                <w:rFonts w:ascii="宋体" w:hAnsi="宋体" w:cs="宋体"/>
                <w:b/>
                <w:szCs w:val="21"/>
              </w:rPr>
              <w:fldChar w:fldCharType="end"/>
            </w:r>
            <w:r>
              <w:rPr>
                <w:rFonts w:hint="eastAsia" w:ascii="宋体" w:hAnsi="宋体" w:cs="宋体"/>
                <w:b/>
                <w:szCs w:val="21"/>
              </w:rPr>
              <w:t>投标文件须装在一密封袋内，密封袋应密封，并在密封袋上注明项目编号、项目名称、投标人名称同时加盖投标人公章。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16</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投标文件提交</w:t>
            </w:r>
          </w:p>
        </w:tc>
        <w:tc>
          <w:tcPr>
            <w:tcW w:w="6626" w:type="dxa"/>
            <w:tcBorders>
              <w:top w:val="single" w:color="auto" w:sz="4" w:space="0"/>
              <w:left w:val="single" w:color="auto" w:sz="4" w:space="0"/>
              <w:bottom w:val="single" w:color="auto" w:sz="4" w:space="0"/>
              <w:right w:val="single" w:color="auto" w:sz="4" w:space="0"/>
            </w:tcBorders>
            <w:vAlign w:val="center"/>
          </w:tcPr>
          <w:p>
            <w:pPr>
              <w:pStyle w:val="9"/>
              <w:widowControl/>
              <w:spacing w:line="420" w:lineRule="exact"/>
              <w:jc w:val="both"/>
              <w:rPr>
                <w:rFonts w:ascii="宋体" w:hAnsi="宋体"/>
                <w:sz w:val="21"/>
                <w:szCs w:val="21"/>
              </w:rPr>
            </w:pPr>
            <w:r>
              <w:rPr>
                <w:rFonts w:hint="eastAsia" w:ascii="宋体" w:hAnsi="宋体"/>
                <w:sz w:val="21"/>
                <w:szCs w:val="21"/>
              </w:rPr>
              <w:t>1、投标截止时间：</w:t>
            </w:r>
            <w:r>
              <w:rPr>
                <w:rFonts w:hint="eastAsia" w:ascii="宋体" w:hAnsi="宋体" w:cs="宋体"/>
                <w:b/>
                <w:sz w:val="22"/>
                <w:u w:val="single"/>
              </w:rPr>
              <w:t>202</w:t>
            </w:r>
            <w:r>
              <w:rPr>
                <w:rFonts w:hint="eastAsia" w:ascii="宋体" w:hAnsi="宋体" w:cs="宋体"/>
                <w:b/>
                <w:sz w:val="22"/>
                <w:u w:val="single"/>
                <w:lang w:val="en-US" w:eastAsia="zh-CN"/>
              </w:rPr>
              <w:t>3</w:t>
            </w:r>
            <w:r>
              <w:rPr>
                <w:rFonts w:hint="eastAsia" w:ascii="宋体" w:hAnsi="宋体" w:cs="宋体"/>
                <w:b/>
                <w:sz w:val="22"/>
                <w:u w:val="single"/>
              </w:rPr>
              <w:t>年</w:t>
            </w:r>
            <w:r>
              <w:rPr>
                <w:rFonts w:hint="eastAsia" w:ascii="宋体" w:hAnsi="宋体" w:cs="宋体"/>
                <w:b/>
                <w:sz w:val="22"/>
                <w:u w:val="single"/>
                <w:lang w:val="en-US" w:eastAsia="zh-CN"/>
              </w:rPr>
              <w:t>4</w:t>
            </w:r>
            <w:r>
              <w:rPr>
                <w:rFonts w:hint="eastAsia" w:ascii="宋体" w:hAnsi="宋体" w:cs="宋体"/>
                <w:b/>
                <w:sz w:val="22"/>
                <w:u w:val="single"/>
              </w:rPr>
              <w:t>月</w:t>
            </w:r>
            <w:r>
              <w:rPr>
                <w:rFonts w:hint="eastAsia" w:ascii="宋体" w:hAnsi="宋体" w:cs="宋体"/>
                <w:b/>
                <w:sz w:val="22"/>
                <w:u w:val="single"/>
                <w:lang w:val="en-US" w:eastAsia="zh-CN"/>
              </w:rPr>
              <w:t xml:space="preserve"> 1</w:t>
            </w:r>
            <w:r>
              <w:rPr>
                <w:rFonts w:hint="eastAsia" w:ascii="宋体" w:hAnsi="宋体" w:cs="宋体"/>
                <w:b/>
                <w:sz w:val="22"/>
                <w:u w:val="single"/>
              </w:rPr>
              <w:t xml:space="preserve">日 </w:t>
            </w:r>
            <w:r>
              <w:rPr>
                <w:rFonts w:hint="eastAsia" w:ascii="宋体" w:hAnsi="宋体" w:cs="宋体"/>
                <w:b/>
                <w:sz w:val="22"/>
                <w:u w:val="single"/>
                <w:lang w:val="en-US" w:eastAsia="zh-CN"/>
              </w:rPr>
              <w:t xml:space="preserve">9 </w:t>
            </w:r>
            <w:r>
              <w:rPr>
                <w:rFonts w:hint="eastAsia" w:ascii="宋体" w:hAnsi="宋体" w:cs="宋体"/>
                <w:b/>
                <w:sz w:val="22"/>
                <w:u w:val="single"/>
              </w:rPr>
              <w:t xml:space="preserve">时 </w:t>
            </w:r>
            <w:r>
              <w:rPr>
                <w:rFonts w:hint="eastAsia" w:ascii="宋体" w:hAnsi="宋体" w:cs="宋体"/>
                <w:b/>
                <w:sz w:val="22"/>
                <w:u w:val="single"/>
                <w:lang w:val="en-US" w:eastAsia="zh-CN"/>
              </w:rPr>
              <w:t xml:space="preserve">30 </w:t>
            </w:r>
            <w:r>
              <w:rPr>
                <w:rFonts w:hint="eastAsia" w:ascii="宋体" w:hAnsi="宋体" w:cs="宋体"/>
                <w:b/>
                <w:sz w:val="22"/>
                <w:u w:val="single"/>
              </w:rPr>
              <w:t>分</w:t>
            </w:r>
            <w:r>
              <w:rPr>
                <w:rFonts w:hint="eastAsia" w:ascii="宋体" w:hAnsi="宋体"/>
                <w:bCs/>
                <w:sz w:val="21"/>
                <w:szCs w:val="21"/>
              </w:rPr>
              <w:t>（北京时间）</w:t>
            </w:r>
          </w:p>
          <w:p>
            <w:pPr>
              <w:pStyle w:val="23"/>
              <w:spacing w:line="480" w:lineRule="atLeast"/>
              <w:ind w:right="150"/>
              <w:jc w:val="both"/>
              <w:rPr>
                <w:rFonts w:hint="eastAsia" w:ascii="宋体" w:hAnsi="宋体" w:eastAsia="仿宋_GB2312"/>
                <w:kern w:val="2"/>
                <w:sz w:val="21"/>
                <w:szCs w:val="21"/>
              </w:rPr>
            </w:pPr>
            <w:r>
              <w:rPr>
                <w:rFonts w:hint="eastAsia" w:ascii="宋体" w:hAnsi="宋体" w:eastAsia="仿宋_GB2312"/>
                <w:kern w:val="2"/>
                <w:sz w:val="21"/>
                <w:szCs w:val="21"/>
              </w:rPr>
              <w:t>2、响应文件提交方式：采购人邀请所有参与本次询价的供应商代表参加询价会议，也可以以不见面的方式参加。</w:t>
            </w:r>
          </w:p>
          <w:p>
            <w:pPr>
              <w:pStyle w:val="9"/>
              <w:widowControl/>
              <w:spacing w:line="420" w:lineRule="exact"/>
              <w:jc w:val="both"/>
              <w:rPr>
                <w:rFonts w:ascii="宋体" w:hAnsi="宋体" w:cs="宋体"/>
                <w:b/>
                <w:sz w:val="22"/>
              </w:rPr>
            </w:pPr>
            <w:r>
              <w:rPr>
                <w:rFonts w:ascii="宋体" w:hAnsi="宋体" w:cs="宋体"/>
                <w:b/>
                <w:sz w:val="22"/>
              </w:rPr>
              <w:t>①</w:t>
            </w:r>
            <w:r>
              <w:rPr>
                <w:rFonts w:hint="eastAsia" w:ascii="宋体" w:hAnsi="宋体" w:cs="宋体"/>
                <w:b/>
                <w:sz w:val="22"/>
              </w:rPr>
              <w:t xml:space="preserve">现场提交： </w:t>
            </w:r>
          </w:p>
          <w:p>
            <w:pPr>
              <w:pStyle w:val="9"/>
              <w:widowControl/>
              <w:spacing w:line="420" w:lineRule="exact"/>
              <w:jc w:val="both"/>
              <w:rPr>
                <w:rFonts w:hint="eastAsia" w:ascii="宋体" w:hAnsi="宋体" w:cs="宋体"/>
                <w:b/>
                <w:sz w:val="22"/>
              </w:rPr>
            </w:pPr>
            <w:r>
              <w:rPr>
                <w:rFonts w:hint="eastAsia" w:ascii="宋体" w:hAnsi="宋体" w:cs="宋体"/>
                <w:b/>
                <w:sz w:val="22"/>
              </w:rPr>
              <w:t>若法定代表人参加开标会议的，须提交法定代表人身份证明书；</w:t>
            </w:r>
          </w:p>
          <w:p>
            <w:pPr>
              <w:pStyle w:val="9"/>
              <w:widowControl/>
              <w:spacing w:line="420" w:lineRule="exact"/>
              <w:jc w:val="both"/>
              <w:rPr>
                <w:rFonts w:hint="eastAsia" w:ascii="宋体" w:hAnsi="宋体" w:cs="宋体"/>
                <w:b/>
                <w:sz w:val="22"/>
              </w:rPr>
            </w:pPr>
            <w:r>
              <w:rPr>
                <w:rFonts w:hint="eastAsia" w:ascii="宋体" w:hAnsi="宋体" w:cs="宋体"/>
                <w:b/>
                <w:sz w:val="22"/>
              </w:rPr>
              <w:t>若授权委托人参加开标会议的，须提交法定代表人授权委托书。</w:t>
            </w:r>
          </w:p>
          <w:p>
            <w:pPr>
              <w:pStyle w:val="9"/>
              <w:widowControl/>
              <w:spacing w:line="420" w:lineRule="exact"/>
              <w:jc w:val="both"/>
              <w:rPr>
                <w:rFonts w:hint="eastAsia" w:ascii="宋体" w:hAnsi="宋体" w:cs="宋体"/>
                <w:b/>
                <w:sz w:val="22"/>
              </w:rPr>
            </w:pPr>
            <w:r>
              <w:rPr>
                <w:rFonts w:ascii="宋体" w:hAnsi="宋体" w:cs="宋体"/>
                <w:b/>
                <w:sz w:val="22"/>
              </w:rPr>
              <w:t>②</w:t>
            </w:r>
            <w:r>
              <w:rPr>
                <w:rFonts w:hint="eastAsia" w:ascii="宋体" w:hAnsi="宋体" w:cs="宋体"/>
                <w:b/>
                <w:sz w:val="22"/>
              </w:rPr>
              <w:t>不见面方式提交：</w:t>
            </w:r>
          </w:p>
          <w:p>
            <w:pPr>
              <w:pStyle w:val="9"/>
              <w:widowControl/>
              <w:spacing w:line="420" w:lineRule="exact"/>
              <w:jc w:val="both"/>
              <w:rPr>
                <w:rFonts w:hint="eastAsia" w:ascii="宋体" w:hAnsi="宋体" w:cs="宋体"/>
                <w:b/>
                <w:sz w:val="22"/>
              </w:rPr>
            </w:pPr>
            <w:r>
              <w:rPr>
                <w:rFonts w:hint="eastAsia" w:ascii="宋体" w:hAnsi="宋体" w:cs="宋体"/>
                <w:b/>
                <w:sz w:val="22"/>
              </w:rPr>
              <w:t>a、 邮寄地址：潜山市开发区八一大道与三合路交叉口1幢1号</w:t>
            </w:r>
          </w:p>
          <w:p>
            <w:pPr>
              <w:pStyle w:val="9"/>
              <w:widowControl/>
              <w:spacing w:line="420" w:lineRule="exact"/>
              <w:jc w:val="both"/>
              <w:rPr>
                <w:rFonts w:ascii="宋体" w:hAnsi="宋体" w:cs="宋体"/>
                <w:b/>
                <w:sz w:val="22"/>
              </w:rPr>
            </w:pPr>
            <w:r>
              <w:rPr>
                <w:rFonts w:hint="eastAsia" w:ascii="宋体" w:hAnsi="宋体" w:cs="宋体"/>
                <w:b/>
                <w:sz w:val="22"/>
              </w:rPr>
              <w:t>b、以本代理机构工作人员实际签收邮件时间为准。（在邮寄过程中出现任何形式的邮件丢失、损坏等一系列问题，由潜在供应商自行负责。）</w:t>
            </w:r>
          </w:p>
          <w:p>
            <w:pPr>
              <w:pStyle w:val="9"/>
              <w:widowControl/>
              <w:spacing w:line="420" w:lineRule="exact"/>
              <w:jc w:val="both"/>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17</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媒介发布</w:t>
            </w:r>
          </w:p>
        </w:tc>
        <w:tc>
          <w:tcPr>
            <w:tcW w:w="6626" w:type="dxa"/>
            <w:tcBorders>
              <w:top w:val="single" w:color="auto" w:sz="4" w:space="0"/>
              <w:left w:val="single" w:color="auto" w:sz="4" w:space="0"/>
              <w:bottom w:val="single" w:color="auto" w:sz="4" w:space="0"/>
              <w:right w:val="single" w:color="auto" w:sz="4" w:space="0"/>
            </w:tcBorders>
            <w:vAlign w:val="center"/>
          </w:tcPr>
          <w:p>
            <w:pPr>
              <w:wordWrap w:val="0"/>
              <w:autoSpaceDE w:val="0"/>
              <w:autoSpaceDN w:val="0"/>
              <w:adjustRightInd w:val="0"/>
              <w:jc w:val="left"/>
              <w:rPr>
                <w:rFonts w:ascii="宋体" w:hAnsi="宋体"/>
                <w:szCs w:val="21"/>
              </w:rPr>
            </w:pPr>
            <w:r>
              <w:rPr>
                <w:rFonts w:hint="eastAsia" w:ascii="宋体" w:hAnsi="宋体"/>
                <w:szCs w:val="21"/>
              </w:rPr>
              <w:t>本次招标公告在安徽泰杰工程咨询有限公司（http://www.ahtaijie.com/）网站发布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18</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开标时间和地点</w:t>
            </w:r>
          </w:p>
        </w:tc>
        <w:tc>
          <w:tcPr>
            <w:tcW w:w="6626" w:type="dxa"/>
            <w:tcBorders>
              <w:top w:val="single" w:color="auto" w:sz="4" w:space="0"/>
              <w:left w:val="single" w:color="auto" w:sz="4" w:space="0"/>
              <w:bottom w:val="single" w:color="auto" w:sz="4" w:space="0"/>
              <w:right w:val="single" w:color="auto" w:sz="4" w:space="0"/>
            </w:tcBorders>
            <w:vAlign w:val="center"/>
          </w:tcPr>
          <w:p>
            <w:pPr>
              <w:pStyle w:val="9"/>
              <w:widowControl/>
              <w:spacing w:before="156" w:line="420" w:lineRule="exact"/>
              <w:jc w:val="both"/>
              <w:rPr>
                <w:rFonts w:ascii="宋体" w:hAnsi="宋体"/>
                <w:sz w:val="21"/>
                <w:szCs w:val="21"/>
              </w:rPr>
            </w:pPr>
            <w:r>
              <w:rPr>
                <w:rFonts w:hint="eastAsia" w:ascii="宋体" w:hAnsi="宋体"/>
                <w:sz w:val="21"/>
                <w:szCs w:val="21"/>
              </w:rPr>
              <w:t>时间:</w:t>
            </w:r>
            <w:r>
              <w:rPr>
                <w:rFonts w:hint="eastAsia" w:ascii="宋体" w:hAnsi="宋体" w:cs="宋体"/>
                <w:b/>
                <w:sz w:val="22"/>
                <w:u w:val="single"/>
              </w:rPr>
              <w:t xml:space="preserve"> 202</w:t>
            </w:r>
            <w:r>
              <w:rPr>
                <w:rFonts w:hint="eastAsia" w:ascii="宋体" w:hAnsi="宋体" w:cs="宋体"/>
                <w:b/>
                <w:sz w:val="22"/>
                <w:u w:val="single"/>
                <w:lang w:val="en-US" w:eastAsia="zh-CN"/>
              </w:rPr>
              <w:t>3</w:t>
            </w:r>
            <w:r>
              <w:rPr>
                <w:rFonts w:hint="eastAsia" w:ascii="宋体" w:hAnsi="宋体" w:cs="宋体"/>
                <w:b/>
                <w:sz w:val="22"/>
                <w:u w:val="single"/>
              </w:rPr>
              <w:t>年</w:t>
            </w:r>
            <w:r>
              <w:rPr>
                <w:rFonts w:hint="eastAsia" w:ascii="宋体" w:hAnsi="宋体" w:cs="宋体"/>
                <w:b/>
                <w:sz w:val="22"/>
                <w:u w:val="single"/>
                <w:lang w:val="en-US" w:eastAsia="zh-CN"/>
              </w:rPr>
              <w:t xml:space="preserve"> 4</w:t>
            </w:r>
            <w:r>
              <w:rPr>
                <w:rFonts w:hint="eastAsia" w:ascii="宋体" w:hAnsi="宋体" w:cs="宋体"/>
                <w:b/>
                <w:sz w:val="22"/>
                <w:u w:val="single"/>
              </w:rPr>
              <w:t>月</w:t>
            </w:r>
            <w:r>
              <w:rPr>
                <w:rFonts w:hint="eastAsia" w:ascii="宋体" w:hAnsi="宋体" w:cs="宋体"/>
                <w:b/>
                <w:sz w:val="22"/>
                <w:u w:val="single"/>
                <w:lang w:val="en-US" w:eastAsia="zh-CN"/>
              </w:rPr>
              <w:t xml:space="preserve"> 1</w:t>
            </w:r>
            <w:r>
              <w:rPr>
                <w:rFonts w:hint="eastAsia" w:ascii="宋体" w:hAnsi="宋体" w:cs="宋体"/>
                <w:b/>
                <w:sz w:val="22"/>
                <w:u w:val="single"/>
              </w:rPr>
              <w:t>日</w:t>
            </w:r>
            <w:r>
              <w:rPr>
                <w:rFonts w:hint="eastAsia" w:ascii="宋体" w:hAnsi="宋体" w:cs="宋体"/>
                <w:b/>
                <w:sz w:val="22"/>
                <w:u w:val="single"/>
                <w:lang w:val="en-US" w:eastAsia="zh-CN"/>
              </w:rPr>
              <w:t xml:space="preserve"> 9</w:t>
            </w:r>
            <w:r>
              <w:rPr>
                <w:rFonts w:hint="eastAsia" w:ascii="宋体" w:hAnsi="宋体" w:cs="宋体"/>
                <w:b/>
                <w:sz w:val="22"/>
                <w:u w:val="single"/>
              </w:rPr>
              <w:t xml:space="preserve"> 时</w:t>
            </w:r>
            <w:r>
              <w:rPr>
                <w:rFonts w:hint="eastAsia" w:ascii="宋体" w:hAnsi="宋体" w:cs="宋体"/>
                <w:b/>
                <w:sz w:val="22"/>
                <w:u w:val="single"/>
                <w:lang w:val="en-US" w:eastAsia="zh-CN"/>
              </w:rPr>
              <w:t xml:space="preserve"> 30 </w:t>
            </w:r>
            <w:r>
              <w:rPr>
                <w:rFonts w:hint="eastAsia" w:ascii="宋体" w:hAnsi="宋体" w:cs="宋体"/>
                <w:b/>
                <w:sz w:val="22"/>
                <w:u w:val="single"/>
              </w:rPr>
              <w:t>分</w:t>
            </w:r>
            <w:r>
              <w:rPr>
                <w:rFonts w:hint="eastAsia" w:ascii="宋体" w:hAnsi="宋体"/>
                <w:bCs/>
                <w:sz w:val="21"/>
                <w:szCs w:val="21"/>
              </w:rPr>
              <w:t>（北京时间）</w:t>
            </w:r>
          </w:p>
          <w:p>
            <w:pPr>
              <w:rPr>
                <w:rFonts w:ascii="宋体" w:hAnsi="宋体"/>
                <w:szCs w:val="21"/>
              </w:rPr>
            </w:pPr>
            <w:r>
              <w:rPr>
                <w:rFonts w:hint="eastAsia" w:ascii="宋体" w:hAnsi="宋体"/>
                <w:szCs w:val="21"/>
              </w:rPr>
              <w:t>开标地点：潜山市开发区八一大道与三合路交叉口1幢1号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19</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评标方法</w:t>
            </w:r>
          </w:p>
        </w:tc>
        <w:tc>
          <w:tcPr>
            <w:tcW w:w="6626"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cs="宋体"/>
                <w:b/>
                <w:szCs w:val="21"/>
              </w:rPr>
              <w:t>综合评分方法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87"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20</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履约保证金</w:t>
            </w:r>
          </w:p>
        </w:tc>
        <w:tc>
          <w:tcPr>
            <w:tcW w:w="6626"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b/>
                <w:szCs w:val="21"/>
              </w:rPr>
            </w:pPr>
            <w:r>
              <w:rPr>
                <w:rFonts w:ascii="宋体" w:hAnsi="宋体" w:cs="宋体"/>
                <w:szCs w:val="21"/>
              </w:rPr>
              <w:fldChar w:fldCharType="begin"/>
            </w:r>
            <w:r>
              <w:rPr>
                <w:rFonts w:ascii="宋体" w:hAnsi="宋体" w:cs="宋体"/>
                <w:szCs w:val="21"/>
              </w:rPr>
              <w:instrText xml:space="preserve"> </w:instrText>
            </w:r>
            <w:r>
              <w:rPr>
                <w:rFonts w:hint="eastAsia" w:ascii="宋体" w:hAnsi="宋体" w:cs="宋体"/>
                <w:szCs w:val="21"/>
              </w:rPr>
              <w:instrText xml:space="preserve">eq \o\ac(○,</w:instrText>
            </w:r>
            <w:r>
              <w:rPr>
                <w:rFonts w:hint="eastAsia" w:ascii="宋体" w:hAnsi="宋体" w:cs="宋体"/>
                <w:position w:val="2"/>
                <w:sz w:val="14"/>
                <w:szCs w:val="21"/>
              </w:rPr>
              <w:instrText xml:space="preserve">1</w:instrText>
            </w:r>
            <w:r>
              <w:rPr>
                <w:rFonts w:hint="eastAsia" w:ascii="宋体" w:hAnsi="宋体" w:cs="宋体"/>
                <w:szCs w:val="21"/>
              </w:rPr>
              <w:instrText xml:space="preserve">)</w:instrText>
            </w:r>
            <w:r>
              <w:rPr>
                <w:rFonts w:ascii="宋体" w:hAnsi="宋体" w:cs="宋体"/>
                <w:szCs w:val="21"/>
              </w:rPr>
              <w:fldChar w:fldCharType="end"/>
            </w:r>
            <w:r>
              <w:rPr>
                <w:rFonts w:hint="eastAsia" w:ascii="宋体" w:hAnsi="宋体" w:cs="宋体"/>
                <w:szCs w:val="21"/>
              </w:rPr>
              <w:t>担保方式：</w:t>
            </w:r>
            <w:r>
              <w:rPr>
                <w:rFonts w:hint="eastAsia" w:ascii="宋体" w:hAnsi="宋体" w:cs="宋体"/>
                <w:b/>
                <w:szCs w:val="21"/>
                <w:bdr w:val="single" w:color="auto" w:sz="4" w:space="0"/>
              </w:rPr>
              <w:t>√</w:t>
            </w:r>
            <w:r>
              <w:rPr>
                <w:rFonts w:hint="eastAsia" w:ascii="宋体" w:hAnsi="宋体" w:cs="宋体"/>
                <w:b/>
                <w:szCs w:val="21"/>
              </w:rPr>
              <w:t>银行转账</w:t>
            </w:r>
          </w:p>
          <w:p>
            <w:pPr>
              <w:spacing w:line="340" w:lineRule="exact"/>
              <w:rPr>
                <w:rFonts w:ascii="宋体" w:hAnsi="宋体" w:cs="宋体"/>
                <w:b/>
                <w:szCs w:val="21"/>
              </w:rPr>
            </w:pPr>
            <w:r>
              <w:rPr>
                <w:rFonts w:hint="eastAsia" w:ascii="宋体" w:hAnsi="宋体" w:cs="宋体"/>
                <w:szCs w:val="21"/>
              </w:rPr>
              <w:t>②担保数额：</w:t>
            </w:r>
            <w:r>
              <w:rPr>
                <w:rFonts w:hint="eastAsia" w:ascii="宋体" w:hAnsi="宋体" w:cs="宋体"/>
                <w:b/>
                <w:szCs w:val="21"/>
              </w:rPr>
              <w:t>履约担保为</w:t>
            </w:r>
            <w:r>
              <w:rPr>
                <w:rFonts w:hint="eastAsia" w:ascii="宋体" w:hAnsi="宋体" w:cs="宋体"/>
                <w:b/>
                <w:szCs w:val="21"/>
                <w:u w:val="single"/>
              </w:rPr>
              <w:t xml:space="preserve">中标价的 </w:t>
            </w:r>
            <w:r>
              <w:rPr>
                <w:rFonts w:hint="eastAsia" w:ascii="宋体" w:hAnsi="宋体" w:cs="宋体"/>
                <w:b/>
                <w:szCs w:val="21"/>
                <w:u w:val="single"/>
                <w:lang w:val="en-US" w:eastAsia="zh-CN"/>
              </w:rPr>
              <w:t>2.5</w:t>
            </w:r>
            <w:r>
              <w:rPr>
                <w:rFonts w:hint="eastAsia" w:ascii="宋体" w:hAnsi="宋体" w:cs="宋体"/>
                <w:b/>
                <w:szCs w:val="21"/>
                <w:u w:val="single"/>
              </w:rPr>
              <w:t xml:space="preserve"> %</w:t>
            </w:r>
            <w:r>
              <w:rPr>
                <w:rFonts w:ascii="宋体" w:hAnsi="宋体" w:cs="宋体"/>
                <w:b/>
                <w:szCs w:val="21"/>
              </w:rPr>
              <w:t xml:space="preserve"> </w:t>
            </w:r>
          </w:p>
          <w:p>
            <w:pPr>
              <w:spacing w:line="340" w:lineRule="exact"/>
              <w:rPr>
                <w:rFonts w:ascii="宋体" w:hAnsi="宋体" w:cs="宋体"/>
                <w:b/>
                <w:szCs w:val="21"/>
              </w:rPr>
            </w:pPr>
            <w:r>
              <w:rPr>
                <w:rFonts w:hint="eastAsia" w:ascii="宋体" w:hAnsi="宋体" w:cs="宋体"/>
                <w:szCs w:val="21"/>
              </w:rPr>
              <w:t>③提交时限：</w:t>
            </w:r>
            <w:r>
              <w:rPr>
                <w:rFonts w:hint="eastAsia" w:ascii="宋体" w:hAnsi="宋体" w:cs="宋体"/>
                <w:b/>
                <w:szCs w:val="21"/>
              </w:rPr>
              <w:t>中标人在合同签订前按规定向安徽泰杰工程咨询有限公司提交履约担保。若中标人未按规定提交履约担保的，招标人可取消其中标资格，并保留进一步追偿的权利。</w:t>
            </w:r>
          </w:p>
          <w:p>
            <w:pPr>
              <w:spacing w:line="340" w:lineRule="exact"/>
              <w:rPr>
                <w:rFonts w:ascii="宋体" w:hAnsi="宋体" w:cs="宋体"/>
                <w:b/>
                <w:szCs w:val="21"/>
              </w:rPr>
            </w:pPr>
            <w:r>
              <w:rPr>
                <w:rFonts w:hint="eastAsia" w:ascii="宋体" w:hAnsi="宋体" w:cs="宋体"/>
                <w:b/>
                <w:szCs w:val="21"/>
              </w:rPr>
              <w:t>④履约保证金</w:t>
            </w:r>
            <w:r>
              <w:rPr>
                <w:rFonts w:ascii="宋体" w:hAnsi="宋体" w:cs="宋体"/>
                <w:b/>
                <w:szCs w:val="21"/>
              </w:rPr>
              <w:t>请汇至：</w:t>
            </w:r>
          </w:p>
          <w:p>
            <w:pPr>
              <w:spacing w:line="340" w:lineRule="exact"/>
              <w:rPr>
                <w:rFonts w:ascii="宋体" w:hAnsi="宋体" w:cs="宋体"/>
                <w:b/>
                <w:szCs w:val="21"/>
              </w:rPr>
            </w:pPr>
            <w:r>
              <w:rPr>
                <w:rFonts w:hint="eastAsia" w:ascii="宋体" w:hAnsi="宋体" w:cs="宋体"/>
                <w:b/>
                <w:szCs w:val="21"/>
              </w:rPr>
              <w:t>开户行名称：中国建设银行潜山支行</w:t>
            </w:r>
          </w:p>
          <w:p>
            <w:pPr>
              <w:spacing w:line="340" w:lineRule="exact"/>
              <w:rPr>
                <w:rFonts w:ascii="宋体" w:hAnsi="宋体" w:cs="宋体"/>
                <w:b/>
                <w:szCs w:val="21"/>
              </w:rPr>
            </w:pPr>
            <w:r>
              <w:rPr>
                <w:rFonts w:hint="eastAsia" w:ascii="宋体" w:hAnsi="宋体" w:cs="宋体"/>
                <w:b/>
                <w:szCs w:val="21"/>
              </w:rPr>
              <w:t>账户名称：安徽泰杰工程咨询有限公司</w:t>
            </w:r>
          </w:p>
          <w:p>
            <w:pPr>
              <w:spacing w:line="420" w:lineRule="exact"/>
              <w:rPr>
                <w:rFonts w:ascii="宋体" w:hAnsi="宋体"/>
                <w:b/>
                <w:szCs w:val="21"/>
              </w:rPr>
            </w:pPr>
            <w:r>
              <w:rPr>
                <w:rFonts w:hint="eastAsia" w:ascii="宋体" w:hAnsi="宋体" w:cs="宋体"/>
                <w:b/>
                <w:szCs w:val="21"/>
              </w:rPr>
              <w:t>账号：34050168430800000493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21</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服务费(元)</w:t>
            </w:r>
          </w:p>
        </w:tc>
        <w:tc>
          <w:tcPr>
            <w:tcW w:w="6626"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rPr>
                <w:rFonts w:hint="default" w:ascii="宋体" w:hAnsi="宋体" w:eastAsia="宋体"/>
                <w:szCs w:val="21"/>
                <w:lang w:val="en-US" w:eastAsia="zh-CN"/>
              </w:rPr>
            </w:pPr>
            <w:r>
              <w:rPr>
                <w:rFonts w:hint="eastAsia" w:asciiTheme="minorEastAsia" w:hAnsiTheme="minorEastAsia" w:eastAsiaTheme="minorEastAsia" w:cstheme="minorEastAsia"/>
                <w:color w:val="FF0000"/>
                <w:szCs w:val="21"/>
              </w:rPr>
              <w:t>本询价项目招标代理服务费等其他费用由成交供应商承担，本项目招标代理服务费及其他费用合计</w:t>
            </w:r>
            <w:r>
              <w:rPr>
                <w:rFonts w:hint="eastAsia" w:asciiTheme="minorEastAsia" w:hAnsiTheme="minorEastAsia" w:eastAsiaTheme="minorEastAsia" w:cstheme="minorEastAsia"/>
                <w:color w:val="FF0000"/>
                <w:szCs w:val="21"/>
                <w:lang w:val="en-US" w:eastAsia="zh-CN"/>
              </w:rPr>
              <w:t>壹万元</w:t>
            </w:r>
            <w:r>
              <w:rPr>
                <w:rFonts w:hint="eastAsia" w:asciiTheme="minorEastAsia" w:hAnsiTheme="minorEastAsia" w:eastAsiaTheme="minorEastAsia" w:cstheme="minorEastAsia"/>
                <w:color w:val="FF0000"/>
                <w:szCs w:val="21"/>
              </w:rPr>
              <w:t>整（￥</w:t>
            </w:r>
            <w:r>
              <w:rPr>
                <w:rFonts w:hint="eastAsia" w:asciiTheme="minorEastAsia" w:hAnsiTheme="minorEastAsia" w:eastAsiaTheme="minorEastAsia" w:cstheme="minorEastAsia"/>
                <w:color w:val="FF0000"/>
                <w:szCs w:val="21"/>
                <w:lang w:val="en-US" w:eastAsia="zh-CN"/>
              </w:rPr>
              <w:t>10000.00</w:t>
            </w:r>
            <w:r>
              <w:rPr>
                <w:rFonts w:hint="eastAsia" w:asciiTheme="minorEastAsia" w:hAnsiTheme="minorEastAsia" w:eastAsiaTheme="minorEastAsia" w:cstheme="minorEastAsia"/>
                <w:color w:val="FF0000"/>
                <w:szCs w:val="21"/>
              </w:rPr>
              <w:t xml:space="preserve"> 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22</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付款方式</w:t>
            </w:r>
          </w:p>
        </w:tc>
        <w:tc>
          <w:tcPr>
            <w:tcW w:w="6626"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szCs w:val="21"/>
              </w:rPr>
            </w:pPr>
            <w:r>
              <w:rPr>
                <w:rFonts w:hint="eastAsia" w:ascii="宋体" w:hAnsi="宋体" w:cs="宋体"/>
                <w:b/>
                <w:color w:val="FF0000"/>
                <w:szCs w:val="21"/>
              </w:rPr>
              <w:t>根据实际需要分批采购，货物经验收合格后，入库</w:t>
            </w:r>
            <w:r>
              <w:rPr>
                <w:rFonts w:hint="eastAsia" w:ascii="宋体" w:hAnsi="宋体" w:cs="宋体"/>
                <w:b/>
                <w:color w:val="FF0000"/>
                <w:szCs w:val="21"/>
                <w:lang w:val="en-US" w:eastAsia="zh-CN"/>
              </w:rPr>
              <w:t>三</w:t>
            </w:r>
            <w:r>
              <w:rPr>
                <w:rFonts w:hint="eastAsia" w:ascii="宋体" w:hAnsi="宋体" w:cs="宋体"/>
                <w:b/>
                <w:color w:val="FF0000"/>
                <w:szCs w:val="21"/>
              </w:rPr>
              <w:t>个月后付款（不计息）。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23</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jc w:val="left"/>
              <w:rPr>
                <w:rFonts w:ascii="宋体" w:hAnsi="宋体"/>
                <w:szCs w:val="21"/>
              </w:rPr>
            </w:pPr>
            <w:r>
              <w:rPr>
                <w:rFonts w:hint="eastAsia" w:ascii="宋体" w:hAnsi="宋体"/>
                <w:szCs w:val="21"/>
              </w:rPr>
              <w:t>招标投标</w:t>
            </w:r>
          </w:p>
          <w:p>
            <w:pPr>
              <w:spacing w:line="420" w:lineRule="exact"/>
              <w:jc w:val="left"/>
              <w:rPr>
                <w:rFonts w:ascii="宋体" w:hAnsi="宋体"/>
                <w:szCs w:val="21"/>
              </w:rPr>
            </w:pPr>
            <w:r>
              <w:rPr>
                <w:rFonts w:hint="eastAsia" w:ascii="宋体" w:hAnsi="宋体"/>
                <w:szCs w:val="21"/>
              </w:rPr>
              <w:t>注意事项</w:t>
            </w:r>
          </w:p>
        </w:tc>
        <w:tc>
          <w:tcPr>
            <w:tcW w:w="6626"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招标文件中所指的投标文件如未特别注明，均为投标人按规定格式提交的纸质版投标文件。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24</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备注</w:t>
            </w:r>
          </w:p>
        </w:tc>
        <w:tc>
          <w:tcPr>
            <w:tcW w:w="6626"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1.本招标文件的解释权归采购单位；</w:t>
            </w:r>
          </w:p>
          <w:p>
            <w:pPr>
              <w:rPr>
                <w:rFonts w:ascii="宋体" w:hAnsi="宋体"/>
                <w:szCs w:val="21"/>
              </w:rPr>
            </w:pPr>
            <w:r>
              <w:rPr>
                <w:rFonts w:hint="eastAsia" w:ascii="宋体" w:hAnsi="宋体"/>
                <w:szCs w:val="21"/>
              </w:rPr>
              <w:t>2.本项目现场记录表（含供应商、投标报价、服务期、最终得分、查验是否合格等情况）将在安徽泰杰工程咨询有限公司（http://www.ahtaijie.com/）公告（如供应商相关业绩、证书属于涉密的，供应商须在投标文件中进行说明，且提供主管部门出具的证明材料，涉密部分不予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25</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特别提示</w:t>
            </w:r>
          </w:p>
        </w:tc>
        <w:tc>
          <w:tcPr>
            <w:tcW w:w="6626"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1. 为贯彻落实中央、省、市“扫 黑除恶”专项斗争有关文件和会议精神，净化我市公共资源交易环境，对在交易过程中如发现有涉嫌围标、串标、恶意竞标的违法违规人员，依据相关规定，将线索移送市扫黑办。</w:t>
            </w:r>
          </w:p>
          <w:p>
            <w:pPr>
              <w:rPr>
                <w:rFonts w:ascii="宋体" w:hAnsi="宋体"/>
                <w:szCs w:val="21"/>
              </w:rPr>
            </w:pPr>
            <w:r>
              <w:rPr>
                <w:rFonts w:hint="eastAsia" w:ascii="宋体" w:hAnsi="宋体"/>
                <w:szCs w:val="21"/>
              </w:rPr>
              <w:t>2.评审中，评标委员会发现供应商的投标文件中对同类问题表述不一致、前后矛盾、有明显文字和计算错误的内容、有可能不符合招标文件规定等情况需要澄清时，评标委员会应当通过纸质询标函对供应商进行询标，要求供应商进行必要的澄清、说明或补正。</w:t>
            </w:r>
          </w:p>
        </w:tc>
      </w:tr>
    </w:tbl>
    <w:p>
      <w:pPr>
        <w:pStyle w:val="58"/>
        <w:rPr>
          <w:rFonts w:asciiTheme="minorEastAsia" w:hAnsiTheme="minorEastAsia" w:eastAsiaTheme="minorEastAsia" w:cstheme="minorEastAsia"/>
        </w:rPr>
      </w:pPr>
      <w:bookmarkStart w:id="52" w:name="_Toc18272"/>
      <w:bookmarkStart w:id="53" w:name="_Toc25471"/>
      <w:r>
        <w:rPr>
          <w:rFonts w:hint="eastAsia" w:asciiTheme="minorEastAsia" w:hAnsiTheme="minorEastAsia" w:eastAsiaTheme="minorEastAsia" w:cstheme="minorEastAsia"/>
        </w:rPr>
        <w:t>第二节  投标人须知</w:t>
      </w:r>
      <w:bookmarkEnd w:id="51"/>
      <w:bookmarkEnd w:id="52"/>
      <w:bookmarkEnd w:id="53"/>
    </w:p>
    <w:p>
      <w:pPr>
        <w:pStyle w:val="6"/>
        <w:ind w:firstLine="472" w:firstLineChars="196"/>
        <w:jc w:val="both"/>
        <w:rPr>
          <w:rFonts w:asciiTheme="minorEastAsia" w:hAnsiTheme="minorEastAsia" w:eastAsiaTheme="minorEastAsia" w:cstheme="minorEastAsia"/>
        </w:rPr>
      </w:pPr>
      <w:bookmarkStart w:id="54" w:name="_Toc18652"/>
      <w:bookmarkStart w:id="55" w:name="_Toc7034"/>
      <w:r>
        <w:rPr>
          <w:rFonts w:hint="eastAsia" w:asciiTheme="minorEastAsia" w:hAnsiTheme="minorEastAsia" w:eastAsiaTheme="minorEastAsia" w:cstheme="minorEastAsia"/>
        </w:rPr>
        <w:t>一、总则</w:t>
      </w:r>
      <w:bookmarkEnd w:id="54"/>
      <w:bookmarkEnd w:id="55"/>
    </w:p>
    <w:p>
      <w:pPr>
        <w:spacing w:line="360" w:lineRule="auto"/>
        <w:ind w:firstLine="422"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1、</w:t>
      </w:r>
      <w:r>
        <w:rPr>
          <w:rFonts w:hint="eastAsia" w:asciiTheme="minorEastAsia" w:hAnsiTheme="minorEastAsia" w:eastAsiaTheme="minorEastAsia" w:cstheme="minorEastAsia"/>
          <w:szCs w:val="21"/>
        </w:rPr>
        <w:t>本招标文件根据《中华人民共和国政府采购法》（以下简称“《政府采购法》”）和《中华人民共和国政府采购法实施条例》等有关法律、法规、规章制定。</w:t>
      </w:r>
    </w:p>
    <w:p>
      <w:pPr>
        <w:spacing w:line="360" w:lineRule="auto"/>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2、定义</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2.1、采购单位是指采购人和采购代理机构。</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2.2、投标人是指对“投标人须知前附表”序号2所指的项目表现出兴趣，按照</w:t>
      </w:r>
      <w:r>
        <w:rPr>
          <w:rFonts w:hint="eastAsia" w:asciiTheme="minorEastAsia" w:hAnsiTheme="minorEastAsia" w:eastAsiaTheme="minorEastAsia" w:cstheme="minorEastAsia"/>
        </w:rPr>
        <w:t>约定</w:t>
      </w:r>
      <w:r>
        <w:rPr>
          <w:rFonts w:hint="eastAsia" w:asciiTheme="minorEastAsia" w:hAnsiTheme="minorEastAsia" w:eastAsiaTheme="minorEastAsia" w:cstheme="minorEastAsia"/>
          <w:szCs w:val="21"/>
        </w:rPr>
        <w:t>的程序，从采购单位获取了招标文件，并实际参与了该项目投标活动的供应商。</w:t>
      </w:r>
    </w:p>
    <w:p>
      <w:pPr>
        <w:spacing w:line="360" w:lineRule="auto"/>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3、投标人资格要求</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3.1、参与本项目的投标人必须满足的要求：详见投标人须知前附表。</w:t>
      </w:r>
    </w:p>
    <w:p>
      <w:pPr>
        <w:spacing w:line="5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3.2、投标人之间如果存在下列情形之一的，不得同时参加同一包别或者不分包别的同一项目投标：</w:t>
      </w:r>
    </w:p>
    <w:p>
      <w:pPr>
        <w:spacing w:line="5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rPr>
        <w:t>单位负责人为同一人或者存在直接控股、管理关系的不同供应商</w:t>
      </w:r>
      <w:r>
        <w:rPr>
          <w:rFonts w:hint="eastAsia" w:asciiTheme="minorEastAsia" w:hAnsiTheme="minorEastAsia" w:eastAsiaTheme="minorEastAsia" w:cstheme="minorEastAsia"/>
          <w:szCs w:val="21"/>
        </w:rPr>
        <w:t>；</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r>
        <w:rPr>
          <w:rFonts w:hint="eastAsia" w:asciiTheme="minorEastAsia" w:hAnsiTheme="minorEastAsia" w:eastAsiaTheme="minorEastAsia" w:cstheme="minorEastAsia"/>
        </w:rPr>
        <w:t>除单一来源采购项目外，为采购项目提供整体设计、规范编制或者项目管理、监理、检测等服务的供应商</w:t>
      </w:r>
      <w:r>
        <w:rPr>
          <w:rFonts w:hint="eastAsia" w:asciiTheme="minorEastAsia" w:hAnsiTheme="minorEastAsia" w:eastAsiaTheme="minorEastAsia" w:cstheme="minorEastAsia"/>
          <w:szCs w:val="21"/>
        </w:rPr>
        <w:t>。</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3.3、</w:t>
      </w:r>
      <w:r>
        <w:rPr>
          <w:rFonts w:hint="eastAsia" w:asciiTheme="minorEastAsia" w:hAnsiTheme="minorEastAsia" w:eastAsiaTheme="minorEastAsia" w:cstheme="minorEastAsia"/>
        </w:rPr>
        <w:t>银行、保险、石油化工、电力、电信等特殊行业的分公司参与投标，须取得总公司的相关授权（投标文件中须提供）；银行、保险、石油化工、电力、电信等特殊行业的分公司取得总公司相关授权后，招标文件中关于法定代表人的要求事项可由分公司负责人代理。</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3.4、投标人必须确保自己信息真实、准确，否则，投标人因此蒙受损失，采购单位概不负责。</w:t>
      </w:r>
    </w:p>
    <w:p>
      <w:pPr>
        <w:spacing w:line="360" w:lineRule="auto"/>
        <w:ind w:firstLine="422"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b/>
        </w:rPr>
        <w:t>4、踏勘现场：</w:t>
      </w:r>
      <w:r>
        <w:rPr>
          <w:rFonts w:hint="eastAsia" w:asciiTheme="minorEastAsia" w:hAnsiTheme="minorEastAsia" w:eastAsiaTheme="minorEastAsia" w:cstheme="minorEastAsia"/>
          <w:szCs w:val="21"/>
        </w:rPr>
        <w:t>投标人自行踏勘现场。投标人应认真对本项目实施现场环境进行踏勘，对项目环境和影响等因素，做出理性的判断和估价。投标人自行负责在踏勘现场发生的人员伤亡和财产损失。中标后签订合同时和供货安装过程中，投标人不得以不了解或不完全了解现场情况为由，提出任何形式的增加费用或索赔的要求。</w:t>
      </w:r>
    </w:p>
    <w:p>
      <w:pPr>
        <w:adjustRightInd w:val="0"/>
        <w:spacing w:line="460" w:lineRule="exact"/>
        <w:ind w:firstLine="413" w:firstLineChars="196"/>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5、联合体投标</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5.1、除非本项目明确要求不接受联合体形式投标外，两个或两个以上供应商可以组成一个联合体投标，以一个投标人的身份投标。</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5.2、以联合体形式参加投标的，联合体各方均应当符合《政府采购法》第二十二条第一款规定的条件，根据采购项目的特殊要求规定投标人特定条件的，联合体各方中至少应当有一方符合。</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5.3、联合体各方之间应当签订联合体协议，明确规定联合体各方应当承担的工作和相应的责任，并将联合体协议连同投标文件一并提交采购单位。由同一专业的单位组成的联合体，按照同一资质等级较低的单位确定资质等级。联合体各方签订联合体协议后，不得再以自己的名义单独在同一项目中投标，也不得组成新的联合体参加同一项目投标。</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w:t>
      </w:r>
      <w:r>
        <w:rPr>
          <w:rFonts w:hint="eastAsia" w:asciiTheme="minorEastAsia" w:hAnsiTheme="minorEastAsia" w:eastAsiaTheme="minorEastAsia" w:cstheme="minorEastAsia"/>
          <w:b/>
        </w:rPr>
        <w:t>6、投标费用：</w:t>
      </w:r>
      <w:r>
        <w:rPr>
          <w:rFonts w:hint="eastAsia" w:asciiTheme="minorEastAsia" w:hAnsiTheme="minorEastAsia" w:eastAsiaTheme="minorEastAsia" w:cstheme="minorEastAsia"/>
          <w:szCs w:val="21"/>
        </w:rPr>
        <w:t>投标人必须自行承担参加投标的所有费用。不论中标与否，采购单位在任何情况下均无义务和责任承担这些费用。</w:t>
      </w:r>
    </w:p>
    <w:p>
      <w:pPr>
        <w:pStyle w:val="6"/>
        <w:ind w:firstLine="472" w:firstLineChars="196"/>
        <w:rPr>
          <w:rFonts w:asciiTheme="minorEastAsia" w:hAnsiTheme="minorEastAsia" w:eastAsiaTheme="minorEastAsia" w:cstheme="minorEastAsia"/>
        </w:rPr>
      </w:pPr>
      <w:bookmarkStart w:id="56" w:name="_Toc8536"/>
      <w:bookmarkStart w:id="57" w:name="_Toc225"/>
      <w:r>
        <w:rPr>
          <w:rFonts w:hint="eastAsia" w:asciiTheme="minorEastAsia" w:hAnsiTheme="minorEastAsia" w:eastAsiaTheme="minorEastAsia" w:cstheme="minorEastAsia"/>
        </w:rPr>
        <w:t>二、招标文件</w:t>
      </w:r>
      <w:bookmarkEnd w:id="56"/>
      <w:bookmarkEnd w:id="57"/>
    </w:p>
    <w:p>
      <w:pPr>
        <w:spacing w:line="360" w:lineRule="auto"/>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7、招标文件的构成</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7.1、招标文件包括：</w:t>
      </w:r>
    </w:p>
    <w:p>
      <w:pPr>
        <w:spacing w:line="360" w:lineRule="auto"/>
        <w:ind w:firstLine="630" w:firstLineChars="3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第一章 招标公告</w:t>
      </w:r>
    </w:p>
    <w:p>
      <w:pPr>
        <w:spacing w:line="360" w:lineRule="auto"/>
        <w:ind w:firstLine="630" w:firstLineChars="3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第二章 投标人须知</w:t>
      </w:r>
      <w:r>
        <w:rPr>
          <w:rFonts w:hint="eastAsia" w:asciiTheme="minorEastAsia" w:hAnsiTheme="minorEastAsia" w:eastAsiaTheme="minorEastAsia" w:cstheme="minorEastAsia"/>
          <w:szCs w:val="21"/>
        </w:rPr>
        <w:tab/>
      </w:r>
    </w:p>
    <w:p>
      <w:pPr>
        <w:spacing w:line="360" w:lineRule="auto"/>
        <w:ind w:firstLine="630" w:firstLineChars="3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第三章 评标方法和标准</w:t>
      </w:r>
      <w:r>
        <w:rPr>
          <w:rFonts w:hint="eastAsia" w:asciiTheme="minorEastAsia" w:hAnsiTheme="minorEastAsia" w:eastAsiaTheme="minorEastAsia" w:cstheme="minorEastAsia"/>
          <w:szCs w:val="21"/>
        </w:rPr>
        <w:tab/>
      </w:r>
    </w:p>
    <w:p>
      <w:pPr>
        <w:spacing w:line="360" w:lineRule="auto"/>
        <w:ind w:firstLine="630" w:firstLineChars="3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第四章 采购需求</w:t>
      </w:r>
      <w:r>
        <w:rPr>
          <w:rFonts w:hint="eastAsia" w:asciiTheme="minorEastAsia" w:hAnsiTheme="minorEastAsia" w:eastAsiaTheme="minorEastAsia" w:cstheme="minorEastAsia"/>
          <w:szCs w:val="21"/>
        </w:rPr>
        <w:tab/>
      </w:r>
    </w:p>
    <w:p>
      <w:pPr>
        <w:spacing w:line="360" w:lineRule="auto"/>
        <w:ind w:firstLine="630" w:firstLineChars="3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第五章 政府采购合同</w:t>
      </w:r>
      <w:r>
        <w:rPr>
          <w:rFonts w:hint="eastAsia" w:asciiTheme="minorEastAsia" w:hAnsiTheme="minorEastAsia" w:eastAsiaTheme="minorEastAsia" w:cstheme="minorEastAsia"/>
          <w:szCs w:val="21"/>
        </w:rPr>
        <w:tab/>
      </w:r>
    </w:p>
    <w:p>
      <w:pPr>
        <w:spacing w:line="360" w:lineRule="auto"/>
        <w:ind w:firstLine="630" w:firstLineChars="3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第六章 投标文件格式</w:t>
      </w:r>
      <w:r>
        <w:rPr>
          <w:rFonts w:hint="eastAsia" w:asciiTheme="minorEastAsia" w:hAnsiTheme="minorEastAsia" w:eastAsiaTheme="minorEastAsia" w:cstheme="minorEastAsia"/>
          <w:szCs w:val="21"/>
        </w:rPr>
        <w:tab/>
      </w:r>
    </w:p>
    <w:p>
      <w:pPr>
        <w:spacing w:line="360" w:lineRule="auto"/>
        <w:ind w:firstLine="630" w:firstLineChars="3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第七章 政府采购供应商质疑函范本</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7.2、投标人应认真阅读和充分理解招标文件中所有的内容。如果投标人没有满足招标文件的有关要求，其风险由投标人自行承担。</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7.3、投标人获取招标文件后，应仔细检查招标文件的所有内容，如有残缺、文本不清晰、表述不一致等问题应在获得招标文件 3 日内向采购单位提出，否则，由此引起的一切损失和后果由投标人自行承担。投标人同时应认真审阅招标文件中所有的事项、格式、条款和规范要求等，若投标人的投标文件没有按招标文件要求提交全部资料及自己理解产生的误差，或投标文件没有对招标文件做出实质性响应，其风险由投标人自行承担，并根据有关条款</w:t>
      </w:r>
      <w:r>
        <w:rPr>
          <w:rFonts w:hint="eastAsia" w:asciiTheme="minorEastAsia" w:hAnsiTheme="minorEastAsia" w:eastAsiaTheme="minorEastAsia" w:cstheme="minorEastAsia"/>
        </w:rPr>
        <w:t>约定，</w:t>
      </w:r>
      <w:r>
        <w:rPr>
          <w:rFonts w:hint="eastAsia" w:asciiTheme="minorEastAsia" w:hAnsiTheme="minorEastAsia" w:eastAsiaTheme="minorEastAsia" w:cstheme="minorEastAsia"/>
          <w:szCs w:val="21"/>
        </w:rPr>
        <w:t>该投标有可能被拒绝。</w:t>
      </w:r>
    </w:p>
    <w:p>
      <w:pPr>
        <w:spacing w:line="360" w:lineRule="auto"/>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8、招标文件的澄清与修改</w:t>
      </w:r>
    </w:p>
    <w:p>
      <w:pPr>
        <w:spacing w:line="360" w:lineRule="auto"/>
        <w:rPr>
          <w:rFonts w:ascii="宋体" w:hAnsi="宋体"/>
          <w:szCs w:val="21"/>
        </w:rPr>
      </w:pPr>
      <w:bookmarkStart w:id="58" w:name="_Toc10261"/>
      <w:bookmarkStart w:id="59" w:name="_Toc9821"/>
      <w:r>
        <w:rPr>
          <w:rFonts w:hint="eastAsia" w:ascii="宋体" w:hAnsi="宋体"/>
          <w:szCs w:val="21"/>
        </w:rPr>
        <w:t xml:space="preserve">   8.1、投标人可以要求采购单位对招标文件中的有关问题进行答疑或澄清。</w:t>
      </w:r>
    </w:p>
    <w:p>
      <w:pPr>
        <w:spacing w:line="360" w:lineRule="auto"/>
        <w:rPr>
          <w:rFonts w:ascii="宋体" w:hAnsi="宋体"/>
          <w:szCs w:val="21"/>
        </w:rPr>
      </w:pPr>
      <w:r>
        <w:rPr>
          <w:rFonts w:hint="eastAsia" w:ascii="宋体" w:hAnsi="宋体"/>
          <w:szCs w:val="21"/>
        </w:rPr>
        <w:t xml:space="preserve">   8.2、投标人对招标文件如有质疑，应在收到招标文件之日或者招标文件公告期限届满之日起7个工作日内向安徽泰杰工程咨询有限公司提交纸质质询函。</w:t>
      </w:r>
    </w:p>
    <w:p>
      <w:pPr>
        <w:spacing w:line="360" w:lineRule="auto"/>
        <w:rPr>
          <w:rFonts w:ascii="宋体" w:hAnsi="宋体"/>
          <w:szCs w:val="21"/>
        </w:rPr>
      </w:pPr>
      <w:r>
        <w:rPr>
          <w:rFonts w:hint="eastAsia" w:ascii="宋体" w:hAnsi="宋体"/>
          <w:szCs w:val="21"/>
        </w:rPr>
        <w:t xml:space="preserve">   8.3、如果投标人未在规定的时间内对招标文件有关条款提出质疑，则视为充分理解招标文件所有内容。一旦提交投标文件，则认为该投标人接受招标文件的所有条款。</w:t>
      </w:r>
    </w:p>
    <w:p>
      <w:pPr>
        <w:spacing w:line="360" w:lineRule="auto"/>
        <w:ind w:firstLine="210" w:firstLineChars="100"/>
        <w:rPr>
          <w:rFonts w:ascii="宋体" w:hAnsi="宋体"/>
          <w:b/>
          <w:szCs w:val="21"/>
        </w:rPr>
      </w:pPr>
      <w:r>
        <w:rPr>
          <w:rFonts w:hint="eastAsia" w:ascii="宋体" w:hAnsi="宋体"/>
          <w:szCs w:val="21"/>
        </w:rPr>
        <w:t xml:space="preserve">  8.4、采购单位对在规定时间收到的、且需要做出澄清的问题，将以本须知所述方式进行答复，但不说明问题的来源。</w:t>
      </w:r>
    </w:p>
    <w:p>
      <w:pPr>
        <w:spacing w:line="360" w:lineRule="auto"/>
        <w:rPr>
          <w:rFonts w:ascii="宋体" w:hAnsi="宋体"/>
          <w:szCs w:val="21"/>
        </w:rPr>
      </w:pPr>
      <w:r>
        <w:rPr>
          <w:rFonts w:hint="eastAsia" w:ascii="宋体" w:hAnsi="宋体"/>
          <w:szCs w:val="21"/>
        </w:rPr>
        <w:t xml:space="preserve">    8.5、采购单位可以对招标文件进行修改。</w:t>
      </w:r>
    </w:p>
    <w:p>
      <w:pPr>
        <w:spacing w:line="360" w:lineRule="auto"/>
        <w:ind w:firstLine="422" w:firstLineChars="200"/>
        <w:rPr>
          <w:rFonts w:ascii="宋体" w:hAnsi="宋体"/>
          <w:b/>
          <w:bCs/>
          <w:szCs w:val="21"/>
        </w:rPr>
      </w:pPr>
      <w:r>
        <w:rPr>
          <w:rFonts w:hint="eastAsia" w:ascii="宋体" w:hAnsi="宋体"/>
          <w:b/>
          <w:bCs/>
          <w:szCs w:val="21"/>
        </w:rPr>
        <w:t>8.6、采购单位对投标人质疑的答复和对招标文件的</w:t>
      </w:r>
      <w:r>
        <w:rPr>
          <w:rFonts w:ascii="宋体" w:hAnsi="宋体"/>
          <w:b/>
          <w:bCs/>
          <w:szCs w:val="21"/>
        </w:rPr>
        <w:t>澄</w:t>
      </w:r>
      <w:r>
        <w:rPr>
          <w:rFonts w:hint="eastAsia" w:ascii="宋体" w:hAnsi="宋体"/>
          <w:b/>
          <w:bCs/>
          <w:szCs w:val="21"/>
        </w:rPr>
        <w:t>清、修改、补充说明等内容通过</w:t>
      </w:r>
      <w:r>
        <w:rPr>
          <w:rFonts w:hint="eastAsia" w:ascii="宋体" w:hAnsi="宋体"/>
          <w:szCs w:val="21"/>
        </w:rPr>
        <w:t>安徽泰杰工程咨询有限公司（http://www.ahtaijie.com/）</w:t>
      </w:r>
      <w:r>
        <w:rPr>
          <w:rFonts w:hint="eastAsia" w:ascii="宋体" w:hAnsi="宋体"/>
          <w:b/>
          <w:bCs/>
          <w:szCs w:val="21"/>
        </w:rPr>
        <w:t>发布，该修改内容作为招标文件的组成部分，具有约束作用。</w:t>
      </w:r>
    </w:p>
    <w:p>
      <w:pPr>
        <w:spacing w:line="360" w:lineRule="auto"/>
        <w:rPr>
          <w:rFonts w:ascii="宋体" w:hAnsi="宋体"/>
          <w:szCs w:val="21"/>
        </w:rPr>
      </w:pPr>
      <w:r>
        <w:rPr>
          <w:rFonts w:hint="eastAsia" w:ascii="宋体" w:hAnsi="宋体"/>
          <w:szCs w:val="21"/>
        </w:rPr>
        <w:t xml:space="preserve">    8.7、当招标文件与对招标文件的澄清、修改、补充等在同一内容的表述上不一致时，以最后发出的为准。</w:t>
      </w:r>
    </w:p>
    <w:p>
      <w:pPr>
        <w:spacing w:line="360" w:lineRule="auto"/>
        <w:rPr>
          <w:rFonts w:ascii="宋体" w:hAnsi="宋体"/>
          <w:szCs w:val="21"/>
        </w:rPr>
      </w:pPr>
      <w:r>
        <w:rPr>
          <w:rFonts w:hint="eastAsia" w:ascii="宋体" w:hAnsi="宋体"/>
          <w:szCs w:val="21"/>
        </w:rPr>
        <w:t xml:space="preserve">    8.8、为使投标人有充分时间对招标文件的澄清、修改、补充部分进行研究，或是由于其他原因，采购单位可以决定顺延投标截止时间，具体时间通过安徽泰杰工程咨询有限公司（http://www.ahtaijie.com/）发布。</w:t>
      </w:r>
    </w:p>
    <w:p>
      <w:pPr>
        <w:pStyle w:val="6"/>
        <w:ind w:firstLine="472" w:firstLineChars="196"/>
        <w:rPr>
          <w:rFonts w:asciiTheme="minorEastAsia" w:hAnsiTheme="minorEastAsia" w:eastAsiaTheme="minorEastAsia" w:cstheme="minorEastAsia"/>
        </w:rPr>
      </w:pPr>
      <w:r>
        <w:rPr>
          <w:rFonts w:hint="eastAsia" w:asciiTheme="minorEastAsia" w:hAnsiTheme="minorEastAsia" w:eastAsiaTheme="minorEastAsia" w:cstheme="minorEastAsia"/>
        </w:rPr>
        <w:t>三、投标文件的编制</w:t>
      </w:r>
      <w:bookmarkEnd w:id="58"/>
      <w:bookmarkEnd w:id="59"/>
    </w:p>
    <w:p>
      <w:pPr>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 xml:space="preserve">    9、投标的语言及度量衡单位</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9.1、投标人的投标文件、投标人与采购单位就投标的所有往来函电，均须使用简体中文。</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9.2、除招标文件中另有</w:t>
      </w:r>
      <w:r>
        <w:rPr>
          <w:rFonts w:hint="eastAsia" w:asciiTheme="minorEastAsia" w:hAnsiTheme="minorEastAsia" w:eastAsiaTheme="minorEastAsia" w:cstheme="minorEastAsia"/>
        </w:rPr>
        <w:t>约定</w:t>
      </w:r>
      <w:r>
        <w:rPr>
          <w:rFonts w:hint="eastAsia" w:asciiTheme="minorEastAsia" w:hAnsiTheme="minorEastAsia" w:eastAsiaTheme="minorEastAsia" w:cstheme="minorEastAsia"/>
          <w:szCs w:val="21"/>
        </w:rPr>
        <w:t>外，投标文件所使用的度量衡均须采用中华人民共和国法定计量单位。</w:t>
      </w:r>
    </w:p>
    <w:p>
      <w:pPr>
        <w:spacing w:line="360" w:lineRule="auto"/>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10、投标文件的构成</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10.1、投标文件应该按照“投标文件格式”</w:t>
      </w:r>
      <w:r>
        <w:rPr>
          <w:rFonts w:hint="eastAsia" w:asciiTheme="minorEastAsia" w:hAnsiTheme="minorEastAsia" w:eastAsiaTheme="minorEastAsia" w:cstheme="minorEastAsia"/>
        </w:rPr>
        <w:t>约定</w:t>
      </w:r>
      <w:r>
        <w:rPr>
          <w:rFonts w:hint="eastAsia" w:asciiTheme="minorEastAsia" w:hAnsiTheme="minorEastAsia" w:eastAsiaTheme="minorEastAsia" w:cstheme="minorEastAsia"/>
          <w:szCs w:val="21"/>
        </w:rPr>
        <w:t>的内容和顺序进行编写。</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10.2、投标人应提交“投标人须知前附表”中</w:t>
      </w:r>
      <w:r>
        <w:rPr>
          <w:rFonts w:hint="eastAsia" w:asciiTheme="minorEastAsia" w:hAnsiTheme="minorEastAsia" w:eastAsiaTheme="minorEastAsia" w:cstheme="minorEastAsia"/>
        </w:rPr>
        <w:t>约定</w:t>
      </w:r>
      <w:r>
        <w:rPr>
          <w:rFonts w:hint="eastAsia" w:asciiTheme="minorEastAsia" w:hAnsiTheme="minorEastAsia" w:eastAsiaTheme="minorEastAsia" w:cstheme="minorEastAsia"/>
          <w:szCs w:val="21"/>
        </w:rPr>
        <w:t>的投标文件。</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10.3、投标人必须对其投标文件的真实性与准确性负责。投标人一旦中标，其投标文件将作为合同的重要组成部分。</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10.4、投标人提供的产品质量和服务均能满足招标文件</w:t>
      </w:r>
      <w:r>
        <w:rPr>
          <w:rFonts w:hint="eastAsia" w:asciiTheme="minorEastAsia" w:hAnsiTheme="minorEastAsia" w:eastAsiaTheme="minorEastAsia" w:cstheme="minorEastAsia"/>
        </w:rPr>
        <w:t>约定</w:t>
      </w:r>
      <w:r>
        <w:rPr>
          <w:rFonts w:hint="eastAsia" w:asciiTheme="minorEastAsia" w:hAnsiTheme="minorEastAsia" w:eastAsiaTheme="minorEastAsia" w:cstheme="minorEastAsia"/>
          <w:szCs w:val="21"/>
        </w:rPr>
        <w:t>的实质性要求。否则，其投标文件在评标时有可能被认为是对招标文件未做出实质性的响应，而被评标委员会终止对其作进一步的评审。</w:t>
      </w:r>
    </w:p>
    <w:p>
      <w:pPr>
        <w:spacing w:line="360" w:lineRule="auto"/>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11、投标报价</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11.1、投标文件的分项报价表上应清楚地标明投标人</w:t>
      </w:r>
      <w:r>
        <w:rPr>
          <w:rFonts w:hint="eastAsia" w:asciiTheme="minorEastAsia" w:hAnsiTheme="minorEastAsia" w:eastAsiaTheme="minorEastAsia" w:cstheme="minorEastAsia"/>
          <w:color w:val="000000"/>
          <w:szCs w:val="21"/>
        </w:rPr>
        <w:t>拟提供服务的名称、人员、设备、价格等内容。单价不作为合同结算依据。</w:t>
      </w:r>
      <w:r>
        <w:rPr>
          <w:rFonts w:hint="eastAsia" w:asciiTheme="minorEastAsia" w:hAnsiTheme="minorEastAsia" w:eastAsiaTheme="minorEastAsia" w:cstheme="minorEastAsia"/>
          <w:b/>
          <w:color w:val="000000"/>
          <w:szCs w:val="21"/>
        </w:rPr>
        <w:t>单价不作为合同结算依据。</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11.2、除非特别要求，每个项目（或每个包）只允许有一个方案、一个报价。多方案、多报价的投标文件将视为无效投标文件。</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11.3、投标人的报价应包含满足本次采购需求的所有费用（</w:t>
      </w:r>
      <w:r>
        <w:rPr>
          <w:rFonts w:hint="eastAsia" w:asciiTheme="minorEastAsia" w:hAnsiTheme="minorEastAsia" w:eastAsiaTheme="minorEastAsia" w:cstheme="minorEastAsia"/>
          <w:color w:val="000000"/>
          <w:szCs w:val="21"/>
        </w:rPr>
        <w:t>包括但不限于：人工费、材料费、交通费、培训费、印刷费、管理费、保险、税金等）。</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11.4、投标报价高于最高投标限价的投标无效。</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11.5、投标文件内容不一致的确认。</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11.5.1、投标文件中投标函(投标报价)与投标文件中相应内容不一致的,以投标函(投标报价)为准;</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11.5.2、若大写金额和小写金额不一致的，以大写金额为准;</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11.5.3、单价金额小数点或者百分比有明显错位的，应以投标函(投标报价)为准，并修正单价。</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11.5.4、总价金额与按单价汇总金额不一致的，以单价金额计算结果为准。</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同时出现两种以上不一致的，按照以上规定的顺序修正</w:t>
      </w:r>
      <w:r>
        <w:rPr>
          <w:rFonts w:hint="eastAsia" w:asciiTheme="minorEastAsia" w:hAnsiTheme="minorEastAsia" w:eastAsiaTheme="minorEastAsia" w:cstheme="minorEastAsia"/>
          <w:color w:val="000000" w:themeColor="text1"/>
          <w:szCs w:val="21"/>
        </w:rPr>
        <w:t>。修正后的报价应当通</w:t>
      </w:r>
      <w:r>
        <w:rPr>
          <w:rFonts w:hint="eastAsia" w:asciiTheme="minorEastAsia" w:hAnsiTheme="minorEastAsia" w:eastAsiaTheme="minorEastAsia" w:cstheme="minorEastAsia"/>
          <w:szCs w:val="21"/>
        </w:rPr>
        <w:t>过电子交易系统提交</w:t>
      </w:r>
      <w:r>
        <w:rPr>
          <w:rFonts w:hint="eastAsia" w:asciiTheme="minorEastAsia" w:hAnsiTheme="minorEastAsia" w:eastAsiaTheme="minorEastAsia" w:cstheme="minorEastAsia"/>
          <w:color w:val="FF0000"/>
          <w:szCs w:val="21"/>
        </w:rPr>
        <w:t>，</w:t>
      </w:r>
      <w:r>
        <w:rPr>
          <w:rFonts w:hint="eastAsia" w:asciiTheme="minorEastAsia" w:hAnsiTheme="minorEastAsia" w:eastAsiaTheme="minorEastAsia" w:cstheme="minorEastAsia"/>
          <w:color w:val="000000" w:themeColor="text1"/>
          <w:szCs w:val="21"/>
        </w:rPr>
        <w:t>并加盖公章或者由法定代表人或其委托代理人签字,</w:t>
      </w:r>
      <w:r>
        <w:rPr>
          <w:rFonts w:hint="eastAsia" w:asciiTheme="minorEastAsia" w:hAnsiTheme="minorEastAsia" w:eastAsiaTheme="minorEastAsia" w:cstheme="minorEastAsia"/>
          <w:szCs w:val="21"/>
        </w:rPr>
        <w:t>但不得超出投标文件的范围或者改变投标文件的实质性内容。经投标人确认后产生约束力，投标人不确认的，其投标无效。</w:t>
      </w:r>
    </w:p>
    <w:p>
      <w:pPr>
        <w:spacing w:line="360" w:lineRule="auto"/>
        <w:ind w:firstLine="422" w:firstLineChars="200"/>
        <w:rPr>
          <w:rFonts w:asciiTheme="minorEastAsia" w:hAnsiTheme="minorEastAsia" w:eastAsiaTheme="minorEastAsia" w:cstheme="minorEastAsia"/>
          <w:b/>
          <w:strike/>
          <w:szCs w:val="21"/>
        </w:rPr>
      </w:pPr>
      <w:r>
        <w:rPr>
          <w:rFonts w:hint="eastAsia" w:asciiTheme="minorEastAsia" w:hAnsiTheme="minorEastAsia" w:eastAsiaTheme="minorEastAsia" w:cstheme="minorEastAsia"/>
          <w:b/>
          <w:szCs w:val="21"/>
        </w:rPr>
        <w:t>12、投标货币：</w:t>
      </w:r>
      <w:r>
        <w:rPr>
          <w:rFonts w:hint="eastAsia" w:asciiTheme="minorEastAsia" w:hAnsiTheme="minorEastAsia" w:eastAsiaTheme="minorEastAsia" w:cstheme="minorEastAsia"/>
          <w:szCs w:val="21"/>
        </w:rPr>
        <w:t>人民币。</w:t>
      </w:r>
    </w:p>
    <w:p>
      <w:pPr>
        <w:spacing w:line="360" w:lineRule="auto"/>
        <w:ind w:firstLine="422" w:firstLineChars="200"/>
        <w:rPr>
          <w:rFonts w:asciiTheme="minorEastAsia" w:hAnsiTheme="minorEastAsia" w:eastAsiaTheme="minorEastAsia" w:cstheme="minorEastAsia"/>
          <w:b/>
          <w:strike/>
          <w:szCs w:val="21"/>
        </w:rPr>
      </w:pPr>
      <w:r>
        <w:rPr>
          <w:rFonts w:hint="eastAsia" w:asciiTheme="minorEastAsia" w:hAnsiTheme="minorEastAsia" w:eastAsiaTheme="minorEastAsia" w:cstheme="minorEastAsia"/>
          <w:b/>
          <w:szCs w:val="21"/>
        </w:rPr>
        <w:t>13、下述情形的处理：</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13.1、投标人有下列情形之一的，记入不良行为记录：</w:t>
      </w:r>
    </w:p>
    <w:p>
      <w:pPr>
        <w:spacing w:line="360" w:lineRule="auto"/>
        <w:ind w:left="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（1）投标截止后，投标人在投标有效期内撤销投标文件的；</w:t>
      </w:r>
    </w:p>
    <w:p>
      <w:pPr>
        <w:spacing w:line="360" w:lineRule="auto"/>
        <w:ind w:left="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（2）中标人无正当理由不与采购人订立合同的，或在签订合同时向采购人提出附加条件的；</w:t>
      </w:r>
    </w:p>
    <w:p>
      <w:pPr>
        <w:spacing w:line="360" w:lineRule="auto"/>
        <w:ind w:left="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（3）不按照招标文件要求提交履约保证金的；</w:t>
      </w:r>
    </w:p>
    <w:p>
      <w:pPr>
        <w:spacing w:line="360" w:lineRule="auto"/>
        <w:ind w:left="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（4）将中标项目转让给他人，或未按相关规定将中标项目分包给他人的；</w:t>
      </w:r>
    </w:p>
    <w:p>
      <w:pPr>
        <w:spacing w:line="360" w:lineRule="auto"/>
        <w:ind w:left="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（5）中标人拒绝履行合同义务的；</w:t>
      </w:r>
    </w:p>
    <w:p>
      <w:pPr>
        <w:spacing w:line="360" w:lineRule="auto"/>
        <w:ind w:left="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（6）提供虚假材料谋取中标、成交的； </w:t>
      </w:r>
    </w:p>
    <w:p>
      <w:pPr>
        <w:spacing w:line="360" w:lineRule="auto"/>
        <w:ind w:left="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（7）采取不正当手段诋毁、排挤其他供应商的； </w:t>
      </w:r>
    </w:p>
    <w:p>
      <w:pPr>
        <w:spacing w:line="360" w:lineRule="auto"/>
        <w:ind w:left="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（8）与采购单位、其他投标人恶意串通的； </w:t>
      </w:r>
    </w:p>
    <w:p>
      <w:pPr>
        <w:spacing w:line="360" w:lineRule="auto"/>
        <w:ind w:left="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（9）视为投标人串通投标的；</w:t>
      </w:r>
    </w:p>
    <w:p>
      <w:pPr>
        <w:spacing w:line="360" w:lineRule="auto"/>
        <w:ind w:left="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（10）向采购单位行贿或者提供其他不正当利益的； </w:t>
      </w:r>
    </w:p>
    <w:p>
      <w:pPr>
        <w:spacing w:line="360" w:lineRule="auto"/>
        <w:ind w:left="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（11）在招标采购过程中与采购人进行协商谈判、不按照招标文件和中标人的投标文件订立合同，或者与采购人另行订立背离合同实质性内容的协议； </w:t>
      </w:r>
    </w:p>
    <w:p>
      <w:pPr>
        <w:spacing w:line="360" w:lineRule="auto"/>
        <w:ind w:left="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（12）拒绝有关部门监督检查或者提供虚假情况的；</w:t>
      </w:r>
    </w:p>
    <w:p>
      <w:pPr>
        <w:spacing w:line="360" w:lineRule="auto"/>
        <w:ind w:left="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（13）受到财政部门依法作出的禁止参加政府采购活动且在有效期内的行政处罚；</w:t>
      </w:r>
    </w:p>
    <w:p>
      <w:pPr>
        <w:spacing w:line="360" w:lineRule="auto"/>
        <w:ind w:left="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（14）法律、法规规定及招标文件约定的其他情形。</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投标人上述行为给采购人造成的损失，投标人应当予以赔偿。</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13.2、有下列情形之一的，视为投标人串通投标，视为投标无效：</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（1）不同投标人的投标文件由同一单位或者个人编制；</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（2）不同投标人委托同一单位或者个人办理投标事宜；</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（3）不同投标人的投标文件载明的项目管理成员或联系人员为同一人；</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（4）不同投标人的投标文件异常一致或者投标报价呈规律性差异；</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（5）不同投标人的投标文件相互混装；</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13.3、投标人在本项目招标过程中有下列行为之一的，中标无效，给采购人造成的损失，投标人还应予以赔偿。构成犯罪的，依法追究刑事责任。</w:t>
      </w:r>
    </w:p>
    <w:p>
      <w:pPr>
        <w:widowControl/>
        <w:spacing w:line="500" w:lineRule="exact"/>
        <w:ind w:firstLine="420" w:firstLineChars="200"/>
        <w:jc w:val="left"/>
        <w:rPr>
          <w:rFonts w:asciiTheme="minorEastAsia" w:hAnsiTheme="minorEastAsia" w:eastAsiaTheme="minorEastAsia" w:cstheme="minorEastAsia"/>
        </w:rPr>
      </w:pPr>
      <w:r>
        <w:rPr>
          <w:rFonts w:hint="eastAsia" w:asciiTheme="minorEastAsia" w:hAnsiTheme="minorEastAsia" w:eastAsiaTheme="minorEastAsia" w:cstheme="minorEastAsia"/>
        </w:rPr>
        <w:t>（1）中标后无正当理由不与采购单位签订合同的；</w:t>
      </w:r>
    </w:p>
    <w:p>
      <w:pPr>
        <w:widowControl/>
        <w:spacing w:line="50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rPr>
        <w:t>（2）</w:t>
      </w:r>
      <w:r>
        <w:rPr>
          <w:rFonts w:hint="eastAsia" w:asciiTheme="minorEastAsia" w:hAnsiTheme="minorEastAsia" w:eastAsiaTheme="minorEastAsia" w:cstheme="minorEastAsia"/>
          <w:szCs w:val="21"/>
        </w:rPr>
        <w:t>在签订合同时向采购人提出附加条件，或者不按照招标文件要求提交履约保证金的；</w:t>
      </w:r>
    </w:p>
    <w:p>
      <w:pPr>
        <w:widowControl/>
        <w:spacing w:line="50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（3）将中标项目转让给他人、或在投标文件中未说明，将中标项目分包给他人的；</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（4）</w:t>
      </w:r>
      <w:r>
        <w:rPr>
          <w:rFonts w:hint="eastAsia" w:asciiTheme="minorEastAsia" w:hAnsiTheme="minorEastAsia" w:eastAsiaTheme="minorEastAsia" w:cstheme="minorEastAsia"/>
          <w:szCs w:val="21"/>
        </w:rPr>
        <w:t>投标人相互串通投标或者与采购人串通投标的；</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（5）投标人以向采购人或者评标委员会成员行贿的手段谋取中标的；</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（6）投标人以他人名义投标或者以其他方式弄虚作假，骗取中标的；</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（7）违法与采购人就投标价格、投标方案等实质性内容进行谈判，影响中标结果的；</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（8）法律、法规规定及招标文件约定的其他情形。</w:t>
      </w:r>
    </w:p>
    <w:p>
      <w:pPr>
        <w:spacing w:line="360" w:lineRule="auto"/>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14、投标有效期</w:t>
      </w:r>
    </w:p>
    <w:p>
      <w:pPr>
        <w:widowControl/>
        <w:spacing w:line="50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14.1、投标有效期见“投标人须知前附表”的约定。</w:t>
      </w:r>
    </w:p>
    <w:p>
      <w:pPr>
        <w:widowControl/>
        <w:spacing w:line="50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14.2、在投标有效期内，投标人不得要求撤销或修改其投标文件。</w:t>
      </w:r>
    </w:p>
    <w:p>
      <w:pPr>
        <w:widowControl/>
        <w:spacing w:line="50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14.3、在特殊情况下，采购单位可于原投标有效期满之前，向中标候选人提出延长投标有效期的要求。中标候选人可以拒绝采购单位的这种要求，但是对拒绝延长投标有效期的中标候选人，采购单位有权利拒绝其投标文件。同意延长投标有效期的中标候选人既不能要求也不允许修改招标文件和其投标文件所有内容。提出投标有效期的延长要求和中标候选人对该要求的答复均采用书面形式。</w:t>
      </w:r>
    </w:p>
    <w:p>
      <w:pPr>
        <w:pStyle w:val="15"/>
        <w:spacing w:line="360" w:lineRule="exact"/>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15、投标文件的签署</w:t>
      </w:r>
    </w:p>
    <w:p>
      <w:pPr>
        <w:widowControl/>
        <w:spacing w:line="50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15.1、投标人应按招标文件约定的格式，编制并提交投标文件。</w:t>
      </w:r>
    </w:p>
    <w:p>
      <w:pPr>
        <w:widowControl/>
        <w:spacing w:line="50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15.2、投标文件应由投标人的法定代表人加盖印章，并加盖投标人公章。委托代理人须将授权委托书及其身份证复印件附在投标文件中。</w:t>
      </w:r>
    </w:p>
    <w:p>
      <w:pPr>
        <w:widowControl/>
        <w:spacing w:line="50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15.3、投标文件不得行间插字、涂改或增删。</w:t>
      </w:r>
    </w:p>
    <w:p>
      <w:pPr>
        <w:widowControl/>
        <w:spacing w:line="500" w:lineRule="exact"/>
        <w:ind w:firstLine="420" w:firstLineChars="200"/>
        <w:jc w:val="left"/>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t>15.4、</w:t>
      </w:r>
      <w:r>
        <w:rPr>
          <w:rFonts w:hint="eastAsia" w:asciiTheme="minorEastAsia" w:hAnsiTheme="minorEastAsia" w:eastAsiaTheme="minorEastAsia" w:cstheme="minorEastAsia"/>
          <w:bCs/>
          <w:szCs w:val="21"/>
        </w:rPr>
        <w:t>投标文件投标函、分项报价表、投标响应表均应加盖投标人公章并经法定代表人加盖印章。投标文件投标函、分项报价表、投标响应表不符合招标文件要求的，视为无效标。授权委托书格式、盖章及内容均应符合招标文件要求，否则授权委托书无效。</w:t>
      </w:r>
    </w:p>
    <w:p>
      <w:pPr>
        <w:pStyle w:val="6"/>
        <w:numPr>
          <w:ilvl w:val="0"/>
          <w:numId w:val="4"/>
        </w:numPr>
        <w:ind w:firstLine="472" w:firstLineChars="196"/>
        <w:rPr>
          <w:rFonts w:asciiTheme="minorEastAsia" w:hAnsiTheme="minorEastAsia" w:eastAsiaTheme="minorEastAsia" w:cstheme="minorEastAsia"/>
        </w:rPr>
      </w:pPr>
      <w:bookmarkStart w:id="60" w:name="_Toc30365"/>
      <w:bookmarkStart w:id="61" w:name="_Toc25319"/>
      <w:r>
        <w:rPr>
          <w:rFonts w:hint="eastAsia" w:asciiTheme="minorEastAsia" w:hAnsiTheme="minorEastAsia" w:eastAsiaTheme="minorEastAsia" w:cstheme="minorEastAsia"/>
        </w:rPr>
        <w:t>投标文件的提交</w:t>
      </w:r>
      <w:bookmarkEnd w:id="60"/>
      <w:bookmarkEnd w:id="61"/>
    </w:p>
    <w:p>
      <w:pPr>
        <w:spacing w:line="360" w:lineRule="auto"/>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16、提交说明</w:t>
      </w:r>
    </w:p>
    <w:p>
      <w:pPr>
        <w:spacing w:line="360" w:lineRule="auto"/>
        <w:ind w:firstLine="420" w:firstLineChars="200"/>
        <w:rPr>
          <w:rFonts w:ascii="宋体" w:hAnsi="宋体"/>
          <w:szCs w:val="21"/>
        </w:rPr>
      </w:pPr>
      <w:r>
        <w:rPr>
          <w:rFonts w:hint="eastAsia" w:ascii="宋体" w:hAnsi="宋体"/>
          <w:szCs w:val="21"/>
        </w:rPr>
        <w:t>16.1、投标人须按投标人须知前附表要求递交纸质投标文件。</w:t>
      </w:r>
    </w:p>
    <w:p>
      <w:pPr>
        <w:spacing w:line="360" w:lineRule="auto"/>
        <w:ind w:firstLine="420" w:firstLineChars="200"/>
        <w:rPr>
          <w:rFonts w:ascii="宋体" w:hAnsi="宋体"/>
          <w:szCs w:val="21"/>
        </w:rPr>
      </w:pPr>
      <w:r>
        <w:rPr>
          <w:rFonts w:hint="eastAsia" w:ascii="宋体" w:hAnsi="宋体"/>
          <w:szCs w:val="21"/>
        </w:rPr>
        <w:t>16.2、未按投标人须知前附表要求递交的投标文件，将不被接受。</w:t>
      </w:r>
    </w:p>
    <w:p>
      <w:pPr>
        <w:spacing w:line="360" w:lineRule="auto"/>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17、投标截止时间</w:t>
      </w:r>
    </w:p>
    <w:p>
      <w:pPr>
        <w:widowControl/>
        <w:spacing w:line="360" w:lineRule="auto"/>
        <w:ind w:firstLine="420" w:firstLineChars="200"/>
        <w:jc w:val="left"/>
        <w:rPr>
          <w:rFonts w:ascii="宋体" w:hAnsi="宋体"/>
          <w:szCs w:val="21"/>
        </w:rPr>
      </w:pPr>
      <w:r>
        <w:rPr>
          <w:rFonts w:hint="eastAsia" w:ascii="宋体" w:hAnsi="宋体"/>
          <w:szCs w:val="21"/>
        </w:rPr>
        <w:t>17.1、投标人应在投标人须知前附表中约定的投标截止时间前将纸质投标文件递交。逾期递交的投标文件，采购单位不予受理。</w:t>
      </w:r>
    </w:p>
    <w:p>
      <w:pPr>
        <w:widowControl/>
        <w:spacing w:line="360" w:lineRule="auto"/>
        <w:ind w:firstLine="420" w:firstLineChars="200"/>
        <w:jc w:val="left"/>
        <w:rPr>
          <w:rFonts w:ascii="宋体" w:hAnsi="宋体"/>
          <w:szCs w:val="21"/>
        </w:rPr>
      </w:pPr>
      <w:r>
        <w:rPr>
          <w:rFonts w:hint="eastAsia" w:ascii="宋体" w:hAnsi="宋体"/>
          <w:szCs w:val="21"/>
        </w:rPr>
        <w:t>17.2、采购人有权按本须知的规定，通过修改招标文件相关条款以延长投标截止时间。在此情况下，采购人和投标人受投标截止时间制约的所有权利和义务均应延长至新的投标截止时间。</w:t>
      </w:r>
    </w:p>
    <w:p>
      <w:pPr>
        <w:widowControl/>
        <w:spacing w:line="360" w:lineRule="auto"/>
        <w:ind w:firstLine="420" w:firstLineChars="200"/>
        <w:jc w:val="left"/>
        <w:rPr>
          <w:rFonts w:ascii="宋体" w:hAnsi="宋体"/>
          <w:szCs w:val="21"/>
        </w:rPr>
      </w:pPr>
      <w:r>
        <w:rPr>
          <w:rFonts w:hint="eastAsia" w:ascii="宋体" w:hAnsi="宋体"/>
          <w:szCs w:val="21"/>
        </w:rPr>
        <w:t>17.3.采购单位将拒绝接收在供应商须知前附表中规定的投标截止时间后收到的任何投标文件。</w:t>
      </w:r>
    </w:p>
    <w:p>
      <w:pPr>
        <w:spacing w:line="360" w:lineRule="auto"/>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18、投标文件的修改与撤回</w:t>
      </w:r>
    </w:p>
    <w:p>
      <w:pPr>
        <w:widowControl/>
        <w:spacing w:line="50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18.1、投标人提交投标文件以后，在约定的投标截止时间之前，可以撤回已提交的投标文件，补充修改后重新递交。</w:t>
      </w:r>
    </w:p>
    <w:p>
      <w:pPr>
        <w:widowControl/>
        <w:spacing w:line="50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18.2、在投标截止时间之后，投标人不得对其投标文件做任何修改。</w:t>
      </w:r>
    </w:p>
    <w:p>
      <w:pPr>
        <w:widowControl/>
        <w:spacing w:line="50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18.3、在规定的投标有效期内，投标人不得撤回其投标文件。</w:t>
      </w:r>
    </w:p>
    <w:p>
      <w:pPr>
        <w:pStyle w:val="6"/>
        <w:ind w:firstLine="472" w:firstLineChars="196"/>
        <w:rPr>
          <w:rFonts w:asciiTheme="minorEastAsia" w:hAnsiTheme="minorEastAsia" w:eastAsiaTheme="minorEastAsia" w:cstheme="minorEastAsia"/>
        </w:rPr>
      </w:pPr>
      <w:bookmarkStart w:id="62" w:name="_Toc23598"/>
      <w:bookmarkStart w:id="63" w:name="_Toc26823"/>
      <w:r>
        <w:rPr>
          <w:rFonts w:hint="eastAsia" w:asciiTheme="minorEastAsia" w:hAnsiTheme="minorEastAsia" w:eastAsiaTheme="minorEastAsia" w:cstheme="minorEastAsia"/>
        </w:rPr>
        <w:t>五、开标</w:t>
      </w:r>
      <w:bookmarkEnd w:id="62"/>
      <w:bookmarkEnd w:id="63"/>
    </w:p>
    <w:p>
      <w:pPr>
        <w:spacing w:line="360" w:lineRule="auto"/>
        <w:ind w:firstLine="422" w:firstLineChars="200"/>
        <w:rPr>
          <w:rFonts w:ascii="宋体" w:hAnsi="宋体"/>
          <w:szCs w:val="21"/>
        </w:rPr>
      </w:pPr>
      <w:r>
        <w:rPr>
          <w:rFonts w:hint="eastAsia" w:asciiTheme="minorEastAsia" w:hAnsiTheme="minorEastAsia" w:eastAsiaTheme="minorEastAsia" w:cstheme="minorEastAsia"/>
          <w:b/>
          <w:bCs/>
          <w:szCs w:val="21"/>
        </w:rPr>
        <w:t>19、开标时间和地点：</w:t>
      </w:r>
      <w:r>
        <w:rPr>
          <w:rFonts w:hint="eastAsia" w:ascii="宋体" w:hAnsi="宋体"/>
          <w:szCs w:val="21"/>
        </w:rPr>
        <w:t>采购单位将在“投标人须知前附表”约定的时间, 在潜山市开发区八一大道与三合路交叉口1幢1号4楼会议室开标，项目监督人员、所有投标人的法定代表人或其授权委托人必须准时参加。</w:t>
      </w:r>
    </w:p>
    <w:p>
      <w:pPr>
        <w:spacing w:line="360" w:lineRule="auto"/>
        <w:ind w:firstLine="420" w:firstLineChars="200"/>
        <w:rPr>
          <w:rFonts w:ascii="宋体" w:hAnsi="宋体" w:cs="宋体"/>
          <w:bCs/>
        </w:rPr>
      </w:pPr>
      <w:r>
        <w:rPr>
          <w:rFonts w:hint="eastAsia" w:ascii="宋体" w:hAnsi="宋体" w:cs="宋体"/>
        </w:rPr>
        <w:t>开标时，</w:t>
      </w:r>
      <w:r>
        <w:rPr>
          <w:rFonts w:hint="eastAsia" w:ascii="宋体" w:hAnsi="宋体" w:cs="宋体"/>
          <w:b/>
        </w:rPr>
        <w:t>采购人委托的采购代理机构</w:t>
      </w:r>
      <w:r>
        <w:rPr>
          <w:rFonts w:hint="eastAsia" w:ascii="宋体" w:hAnsi="宋体" w:cs="宋体"/>
        </w:rPr>
        <w:t>进行查验，</w:t>
      </w:r>
      <w:r>
        <w:rPr>
          <w:rFonts w:hint="eastAsia" w:ascii="宋体" w:hAnsi="宋体" w:cs="宋体"/>
          <w:b/>
        </w:rPr>
        <w:t>否则，不予受理</w:t>
      </w:r>
      <w:r>
        <w:rPr>
          <w:rFonts w:hint="eastAsia" w:ascii="宋体" w:hAnsi="宋体" w:cs="宋体"/>
        </w:rPr>
        <w:t>：</w:t>
      </w:r>
    </w:p>
    <w:p>
      <w:pPr>
        <w:spacing w:line="360" w:lineRule="auto"/>
        <w:ind w:firstLine="708" w:firstLineChars="336"/>
        <w:rPr>
          <w:rFonts w:ascii="宋体" w:hAnsi="宋体" w:cs="宋体"/>
          <w:b/>
        </w:rPr>
      </w:pPr>
      <w:r>
        <w:rPr>
          <w:rFonts w:hint="eastAsia" w:ascii="宋体" w:hAnsi="宋体" w:cs="宋体"/>
          <w:b/>
        </w:rPr>
        <w:t>a.投标人代表若为法定代表人时，应提交法定代表人身份证明书，并出示有效二代居民身份证；</w:t>
      </w:r>
    </w:p>
    <w:p>
      <w:pPr>
        <w:spacing w:line="360" w:lineRule="auto"/>
        <w:ind w:firstLine="708" w:firstLineChars="336"/>
        <w:rPr>
          <w:rFonts w:ascii="宋体" w:hAnsi="宋体" w:cs="宋体"/>
          <w:b/>
        </w:rPr>
      </w:pPr>
      <w:r>
        <w:rPr>
          <w:rFonts w:hint="eastAsia" w:ascii="宋体" w:hAnsi="宋体" w:cs="宋体"/>
          <w:b/>
        </w:rPr>
        <w:t>b.投标人代表若为法定代表人授权委托人，授权委托代理人参加本次开标活动，应提交法定代表人签署的授权委托书，并出示有效二代居民身份证；（格式参照招标文件第五章投标文件格式中“法定代表人身份证明” 或“授权委托书”）</w:t>
      </w:r>
    </w:p>
    <w:p>
      <w:pPr>
        <w:spacing w:line="360" w:lineRule="auto"/>
        <w:ind w:firstLine="708" w:firstLineChars="336"/>
        <w:rPr>
          <w:rFonts w:ascii="宋体" w:hAnsi="宋体" w:cs="宋体"/>
          <w:b/>
        </w:rPr>
      </w:pPr>
      <w:r>
        <w:rPr>
          <w:rFonts w:hint="eastAsia" w:ascii="宋体" w:hAnsi="宋体" w:cs="宋体"/>
          <w:b/>
        </w:rPr>
        <w:t>c．投标文件不符合第二章投标人须知前附表要求密封和加写标记的投标文件，采购人予以拒收；</w:t>
      </w:r>
    </w:p>
    <w:p>
      <w:pPr>
        <w:widowControl/>
        <w:spacing w:line="500" w:lineRule="exact"/>
        <w:ind w:firstLine="422"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20、开标程序</w:t>
      </w:r>
    </w:p>
    <w:p>
      <w:pPr>
        <w:widowControl/>
        <w:spacing w:line="360" w:lineRule="auto"/>
        <w:ind w:firstLine="420" w:firstLineChars="200"/>
        <w:jc w:val="left"/>
        <w:rPr>
          <w:rFonts w:ascii="宋体" w:hAnsi="宋体"/>
          <w:szCs w:val="21"/>
        </w:rPr>
      </w:pPr>
      <w:r>
        <w:rPr>
          <w:rFonts w:hint="eastAsia" w:ascii="宋体" w:hAnsi="宋体"/>
          <w:szCs w:val="21"/>
        </w:rPr>
        <w:t>20.1、开标由采购单位代表主持，主持人按下列程序进行：</w:t>
      </w:r>
    </w:p>
    <w:p>
      <w:pPr>
        <w:widowControl/>
        <w:spacing w:line="360" w:lineRule="auto"/>
        <w:ind w:firstLine="420" w:firstLineChars="200"/>
        <w:jc w:val="left"/>
        <w:rPr>
          <w:rFonts w:ascii="宋体" w:hAnsi="宋体"/>
          <w:szCs w:val="21"/>
        </w:rPr>
      </w:pPr>
      <w:r>
        <w:rPr>
          <w:rFonts w:hint="eastAsia" w:ascii="宋体" w:hAnsi="宋体"/>
          <w:szCs w:val="21"/>
        </w:rPr>
        <w:t>20.1.1、宣布项目名称、介绍参会人员；</w:t>
      </w:r>
    </w:p>
    <w:p>
      <w:pPr>
        <w:widowControl/>
        <w:spacing w:line="360" w:lineRule="auto"/>
        <w:ind w:firstLine="420" w:firstLineChars="200"/>
        <w:jc w:val="left"/>
        <w:rPr>
          <w:rFonts w:ascii="宋体" w:hAnsi="宋体"/>
          <w:szCs w:val="21"/>
        </w:rPr>
      </w:pPr>
      <w:r>
        <w:rPr>
          <w:rFonts w:hint="eastAsia" w:ascii="宋体" w:hAnsi="宋体"/>
          <w:szCs w:val="21"/>
        </w:rPr>
        <w:t>20.1.2、宣布开标纪律；</w:t>
      </w:r>
    </w:p>
    <w:p>
      <w:pPr>
        <w:widowControl/>
        <w:spacing w:line="360" w:lineRule="auto"/>
        <w:ind w:firstLine="420" w:firstLineChars="200"/>
        <w:jc w:val="left"/>
        <w:rPr>
          <w:rFonts w:ascii="宋体" w:hAnsi="宋体"/>
          <w:szCs w:val="21"/>
        </w:rPr>
      </w:pPr>
      <w:r>
        <w:rPr>
          <w:rFonts w:hint="eastAsia" w:ascii="宋体" w:hAnsi="宋体"/>
          <w:szCs w:val="21"/>
        </w:rPr>
        <w:t>20.1.3、由采购人和监督人员代表查验投标人报名情况并宣布查验结果；</w:t>
      </w:r>
    </w:p>
    <w:p>
      <w:pPr>
        <w:widowControl/>
        <w:spacing w:line="360" w:lineRule="auto"/>
        <w:ind w:firstLine="420" w:firstLineChars="200"/>
        <w:jc w:val="left"/>
        <w:rPr>
          <w:rFonts w:ascii="宋体" w:hAnsi="宋体"/>
          <w:szCs w:val="21"/>
        </w:rPr>
      </w:pPr>
      <w:r>
        <w:rPr>
          <w:rFonts w:hint="eastAsia" w:ascii="宋体" w:hAnsi="宋体"/>
          <w:szCs w:val="21"/>
        </w:rPr>
        <w:t>20.1.6、依次开标，公布投标人名称、投标报价及投标函其他内容，并记录在案，同时各投标人签字确认；</w:t>
      </w:r>
      <w:r>
        <w:rPr>
          <w:rFonts w:hint="eastAsia" w:ascii="宋体" w:hAnsi="宋体"/>
          <w:szCs w:val="21"/>
        </w:rPr>
        <w:cr/>
      </w:r>
      <w:r>
        <w:rPr>
          <w:rFonts w:hint="eastAsia" w:ascii="宋体" w:hAnsi="宋体"/>
          <w:szCs w:val="21"/>
        </w:rPr>
        <w:t xml:space="preserve">    20.1.7、采购人代表、监督人、记录人等有关人员在开标记录表上签字确认；</w:t>
      </w:r>
      <w:r>
        <w:rPr>
          <w:rFonts w:hint="eastAsia" w:ascii="宋体" w:hAnsi="宋体"/>
          <w:szCs w:val="21"/>
        </w:rPr>
        <w:cr/>
      </w:r>
      <w:r>
        <w:rPr>
          <w:rFonts w:hint="eastAsia" w:ascii="宋体" w:hAnsi="宋体"/>
          <w:szCs w:val="21"/>
        </w:rPr>
        <w:t xml:space="preserve">    20.1.8、暂时休会，进入评审阶段；</w:t>
      </w:r>
    </w:p>
    <w:p>
      <w:pPr>
        <w:widowControl/>
        <w:spacing w:line="360" w:lineRule="auto"/>
        <w:ind w:firstLine="420" w:firstLineChars="200"/>
        <w:jc w:val="left"/>
        <w:rPr>
          <w:rFonts w:ascii="宋体" w:hAnsi="宋体"/>
          <w:szCs w:val="21"/>
        </w:rPr>
      </w:pPr>
      <w:r>
        <w:rPr>
          <w:rFonts w:hint="eastAsia" w:ascii="宋体" w:hAnsi="宋体"/>
          <w:szCs w:val="21"/>
        </w:rPr>
        <w:t>20.2、投标人必须对其投标文件中所有资料的真实性负责。若发现投标人有弄虚作假行为的，投标无效，由相关管理部门按照招标文件相应条款对其做相应处罚。</w:t>
      </w:r>
    </w:p>
    <w:p>
      <w:pPr>
        <w:widowControl/>
        <w:spacing w:line="360" w:lineRule="auto"/>
        <w:ind w:firstLine="420" w:firstLineChars="200"/>
        <w:jc w:val="left"/>
        <w:rPr>
          <w:rFonts w:ascii="宋体" w:hAnsi="宋体"/>
          <w:szCs w:val="21"/>
        </w:rPr>
      </w:pPr>
      <w:r>
        <w:rPr>
          <w:rFonts w:hint="eastAsia" w:ascii="宋体" w:hAnsi="宋体"/>
          <w:szCs w:val="21"/>
        </w:rPr>
        <w:t>20.3、投标人应当在投标截止时间前完成投标文件的提交，未在投标截止时间前提交有效纸质投标文件的，采购单位不予接收，视为未提交投标文件。</w:t>
      </w:r>
    </w:p>
    <w:p>
      <w:pPr>
        <w:widowControl/>
        <w:spacing w:line="500" w:lineRule="exact"/>
        <w:ind w:firstLine="422"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21、投标文件的有效性</w:t>
      </w:r>
    </w:p>
    <w:p>
      <w:pPr>
        <w:widowControl/>
        <w:spacing w:line="50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21.1、投标文件逾期递交的，将不予受理；</w:t>
      </w:r>
    </w:p>
    <w:p>
      <w:pPr>
        <w:widowControl/>
        <w:spacing w:line="50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21.2、开标过程中发现有下列情况的，由评标委员会评审后，认定为投标无效：</w:t>
      </w:r>
    </w:p>
    <w:p>
      <w:pPr>
        <w:widowControl/>
        <w:spacing w:line="50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21.2.1、投标人经查验不合格的、因投标人原因造成解密失败的。</w:t>
      </w:r>
    </w:p>
    <w:p>
      <w:pPr>
        <w:widowControl/>
        <w:spacing w:line="50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21.2.2、未按约定格式提供、填写投标文件投标函、分项报价表、投标响应表或投标文件投标函、分项报价表、投标响应表未加盖投标人公章并经法定代表人加盖印章；</w:t>
      </w:r>
    </w:p>
    <w:p>
      <w:pPr>
        <w:widowControl/>
        <w:spacing w:line="50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21.2.3、投标报价高于最高投标</w:t>
      </w:r>
      <w:r>
        <w:rPr>
          <w:rFonts w:hint="eastAsia" w:asciiTheme="minorEastAsia" w:hAnsiTheme="minorEastAsia" w:eastAsiaTheme="minorEastAsia" w:cstheme="minorEastAsia"/>
          <w:szCs w:val="21"/>
          <w:lang w:eastAsia="zh-CN"/>
        </w:rPr>
        <w:t>总价</w:t>
      </w:r>
      <w:r>
        <w:rPr>
          <w:rFonts w:hint="eastAsia" w:asciiTheme="minorEastAsia" w:hAnsiTheme="minorEastAsia" w:eastAsiaTheme="minorEastAsia" w:cstheme="minorEastAsia"/>
          <w:szCs w:val="21"/>
        </w:rPr>
        <w:t>的；</w:t>
      </w:r>
    </w:p>
    <w:p>
      <w:pPr>
        <w:widowControl/>
        <w:spacing w:line="50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21.2.4、法律、法规及招标文件约定的其它情形。</w:t>
      </w:r>
    </w:p>
    <w:p>
      <w:pPr>
        <w:widowControl/>
        <w:spacing w:line="50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21.3、投标人存在下列情形之一，经评标委员会评审后，认定为投标无效：</w:t>
      </w:r>
    </w:p>
    <w:p>
      <w:pPr>
        <w:widowControl/>
        <w:spacing w:line="5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(1)被责令停业且处于有效期内的；</w:t>
      </w:r>
    </w:p>
    <w:p>
      <w:pPr>
        <w:widowControl/>
        <w:spacing w:line="5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(2)被安庆市行政区域内公共资源交易监管部门限制投标资格且处于有效期内；</w:t>
      </w:r>
    </w:p>
    <w:p>
      <w:pPr>
        <w:widowControl/>
        <w:spacing w:line="5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(3)财产被接管或冻结可能影响本项目正常实施的；</w:t>
      </w:r>
    </w:p>
    <w:p>
      <w:pPr>
        <w:widowControl/>
        <w:spacing w:line="500" w:lineRule="exact"/>
        <w:ind w:firstLine="42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(4)法律、法规规定及招标文件约定的其他情形。</w:t>
      </w:r>
    </w:p>
    <w:p>
      <w:pPr>
        <w:widowControl/>
        <w:spacing w:line="500" w:lineRule="exact"/>
        <w:ind w:firstLine="42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21.4 各级人民政府财政部门依法对参加政府采购活动的供应商作出的禁止参加政府采购活动等行政处罚决定在全国范围内生效。投标人受到财政部门依法作出的禁止参加政府采购活动且在有效期内的行政处罚，其投标无效。</w:t>
      </w:r>
    </w:p>
    <w:p>
      <w:pPr>
        <w:pStyle w:val="6"/>
        <w:wordWrap/>
        <w:spacing w:line="360" w:lineRule="auto"/>
        <w:ind w:firstLine="472" w:firstLineChars="196"/>
        <w:rPr>
          <w:rFonts w:asciiTheme="minorEastAsia" w:hAnsiTheme="minorEastAsia" w:eastAsiaTheme="minorEastAsia" w:cstheme="minorEastAsia"/>
        </w:rPr>
      </w:pPr>
      <w:bookmarkStart w:id="64" w:name="_Toc14965"/>
      <w:bookmarkStart w:id="65" w:name="_Toc28310"/>
      <w:r>
        <w:rPr>
          <w:rFonts w:hint="eastAsia" w:asciiTheme="minorEastAsia" w:hAnsiTheme="minorEastAsia" w:eastAsiaTheme="minorEastAsia" w:cstheme="minorEastAsia"/>
        </w:rPr>
        <w:t>六、投标人资格审查</w:t>
      </w:r>
      <w:bookmarkEnd w:id="64"/>
    </w:p>
    <w:p>
      <w:pPr>
        <w:pStyle w:val="5"/>
        <w:spacing w:line="360" w:lineRule="auto"/>
        <w:rPr>
          <w:rFonts w:asciiTheme="minorEastAsia" w:hAnsiTheme="minorEastAsia" w:eastAsiaTheme="minorEastAsia" w:cstheme="minorEastAsia"/>
          <w:b/>
          <w:kern w:val="2"/>
          <w:sz w:val="21"/>
          <w:szCs w:val="21"/>
        </w:rPr>
      </w:pPr>
      <w:r>
        <w:rPr>
          <w:rFonts w:hint="eastAsia" w:asciiTheme="minorEastAsia" w:hAnsiTheme="minorEastAsia" w:eastAsiaTheme="minorEastAsia" w:cstheme="minorEastAsia"/>
          <w:b/>
          <w:kern w:val="2"/>
          <w:sz w:val="21"/>
          <w:szCs w:val="21"/>
        </w:rPr>
        <w:t>22、经资格审查后，合格投标人不足3家的，不得评标。</w:t>
      </w:r>
    </w:p>
    <w:p>
      <w:pPr>
        <w:pStyle w:val="6"/>
        <w:ind w:firstLine="472" w:firstLineChars="196"/>
        <w:rPr>
          <w:rFonts w:asciiTheme="minorEastAsia" w:hAnsiTheme="minorEastAsia" w:eastAsiaTheme="minorEastAsia" w:cstheme="minorEastAsia"/>
        </w:rPr>
      </w:pPr>
      <w:bookmarkStart w:id="66" w:name="_Toc18586"/>
      <w:r>
        <w:rPr>
          <w:rFonts w:hint="eastAsia" w:asciiTheme="minorEastAsia" w:hAnsiTheme="minorEastAsia" w:eastAsiaTheme="minorEastAsia" w:cstheme="minorEastAsia"/>
        </w:rPr>
        <w:t>七、评标</w:t>
      </w:r>
      <w:bookmarkEnd w:id="65"/>
      <w:bookmarkEnd w:id="66"/>
    </w:p>
    <w:p>
      <w:pPr>
        <w:widowControl/>
        <w:spacing w:line="5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 xml:space="preserve">    23、评标委员会</w:t>
      </w:r>
      <w:r>
        <w:rPr>
          <w:rFonts w:hint="eastAsia" w:asciiTheme="minorEastAsia" w:hAnsiTheme="minorEastAsia" w:eastAsiaTheme="minorEastAsia" w:cstheme="minorEastAsia"/>
          <w:szCs w:val="21"/>
        </w:rPr>
        <w:t>（以下简称“评委会”）：评委会依法组建，其中采购人代表1人。采购人代表不得担任评委会组长。评标由评委会进行，评委应坚持公正、公平、诚实守信、实事求是、独立评标的原则。</w:t>
      </w:r>
    </w:p>
    <w:p>
      <w:pPr>
        <w:spacing w:line="360" w:lineRule="auto"/>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24、评标方法：</w:t>
      </w:r>
      <w:r>
        <w:rPr>
          <w:rFonts w:hint="eastAsia" w:ascii="宋体" w:hAnsi="宋体" w:cs="宋体"/>
          <w:szCs w:val="21"/>
        </w:rPr>
        <w:t>采用综合评分方法。</w:t>
      </w:r>
    </w:p>
    <w:p>
      <w:pPr>
        <w:widowControl/>
        <w:spacing w:line="500" w:lineRule="exact"/>
        <w:jc w:val="left"/>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t xml:space="preserve">    </w:t>
      </w:r>
      <w:r>
        <w:rPr>
          <w:rFonts w:hint="eastAsia" w:asciiTheme="minorEastAsia" w:hAnsiTheme="minorEastAsia" w:eastAsiaTheme="minorEastAsia" w:cstheme="minorEastAsia"/>
          <w:b/>
          <w:bCs/>
          <w:szCs w:val="21"/>
        </w:rPr>
        <w:t>25、开标评标异常情况处理</w:t>
      </w:r>
    </w:p>
    <w:p>
      <w:pPr>
        <w:widowControl/>
        <w:spacing w:line="5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25.1、在招标采购中，出现下列情况之一的，应予废标，采购单位重新组织采购：</w:t>
      </w:r>
    </w:p>
    <w:p>
      <w:pPr>
        <w:widowControl/>
        <w:spacing w:line="5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(1) 符合专业条件的投标人或者对招标文件作实质响应的投标人不足三家的；</w:t>
      </w:r>
    </w:p>
    <w:p>
      <w:pPr>
        <w:widowControl/>
        <w:spacing w:line="5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(2)</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t>出现影响采购公正的违法、违规行为的；</w:t>
      </w:r>
    </w:p>
    <w:p>
      <w:pPr>
        <w:widowControl/>
        <w:spacing w:line="5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(3)</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t>投标人的报价均超过了最高投标</w:t>
      </w:r>
      <w:r>
        <w:rPr>
          <w:rFonts w:hint="eastAsia" w:asciiTheme="minorEastAsia" w:hAnsiTheme="minorEastAsia" w:eastAsiaTheme="minorEastAsia" w:cstheme="minorEastAsia"/>
          <w:szCs w:val="21"/>
          <w:lang w:eastAsia="zh-CN"/>
        </w:rPr>
        <w:t>总价</w:t>
      </w:r>
      <w:r>
        <w:rPr>
          <w:rFonts w:hint="eastAsia" w:asciiTheme="minorEastAsia" w:hAnsiTheme="minorEastAsia" w:eastAsiaTheme="minorEastAsia" w:cstheme="minorEastAsia"/>
          <w:szCs w:val="21"/>
        </w:rPr>
        <w:t>，采购人不能支付的；</w:t>
      </w:r>
    </w:p>
    <w:p>
      <w:pPr>
        <w:widowControl/>
        <w:spacing w:line="500" w:lineRule="exact"/>
        <w:ind w:firstLine="42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t>因重大变故，采购任务取消的。</w:t>
      </w:r>
    </w:p>
    <w:p>
      <w:pPr>
        <w:spacing w:line="500" w:lineRule="exact"/>
        <w:rPr>
          <w:rFonts w:asciiTheme="minorEastAsia" w:hAnsiTheme="minorEastAsia" w:eastAsiaTheme="minorEastAsia" w:cstheme="minorEastAsia"/>
          <w:b/>
          <w:szCs w:val="21"/>
        </w:rPr>
      </w:pPr>
      <w:r>
        <w:rPr>
          <w:rFonts w:hint="eastAsia" w:asciiTheme="minorEastAsia" w:hAnsiTheme="minorEastAsia" w:eastAsiaTheme="minorEastAsia" w:cstheme="minorEastAsia"/>
          <w:szCs w:val="21"/>
        </w:rPr>
        <w:t xml:space="preserve"> </w:t>
      </w:r>
      <w:r>
        <w:rPr>
          <w:rFonts w:hint="eastAsia" w:asciiTheme="minorEastAsia" w:hAnsiTheme="minorEastAsia" w:eastAsiaTheme="minorEastAsia" w:cstheme="minorEastAsia"/>
          <w:b/>
          <w:szCs w:val="21"/>
        </w:rPr>
        <w:t>26、评标过程的保密性</w:t>
      </w:r>
    </w:p>
    <w:p>
      <w:pPr>
        <w:widowControl/>
        <w:spacing w:line="5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26.1、开标后，直到授予中标人合同止，凡是与投标文件审查、澄清、评价、比较以及授标建议等评审方面的情况，均不得向投标人或其他无关的人员透露。</w:t>
      </w:r>
    </w:p>
    <w:p>
      <w:pPr>
        <w:widowControl/>
        <w:spacing w:line="5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26.2、在评标过程中，投标人如向评委会成员施加任何影响，都将会导致其投标文件被拒绝。   </w:t>
      </w:r>
    </w:p>
    <w:p>
      <w:pPr>
        <w:widowControl/>
        <w:spacing w:line="5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26.3、中标人确定后，采购单位不对未中标人就评标过程以及未能中标原因做出任何解释。投标人不得向评委会组成人员或其他有关人员询问评标过程的情况和要求提供材料。</w:t>
      </w:r>
      <w:bookmarkStart w:id="67" w:name="_Toc15032"/>
      <w:bookmarkStart w:id="68" w:name="_Toc417655921"/>
      <w:bookmarkStart w:id="69" w:name="_Toc418517858"/>
    </w:p>
    <w:p>
      <w:pPr>
        <w:widowControl/>
        <w:spacing w:line="500" w:lineRule="exact"/>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w:t>
      </w:r>
    </w:p>
    <w:p>
      <w:pPr>
        <w:widowControl/>
        <w:spacing w:line="5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26.4、服务费</w:t>
      </w:r>
    </w:p>
    <w:p>
      <w:pPr>
        <w:widowControl/>
        <w:spacing w:line="5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26.4.1、中标人应在收到缴费通知后三日内按招标文件要求缴纳服务费</w:t>
      </w:r>
      <w:r>
        <w:rPr>
          <w:rFonts w:hint="eastAsia" w:asciiTheme="minorEastAsia" w:hAnsiTheme="minorEastAsia" w:eastAsiaTheme="minorEastAsia" w:cstheme="minorEastAsia"/>
          <w:color w:val="000000"/>
          <w:szCs w:val="21"/>
        </w:rPr>
        <w:t>，完成缴费后请在7个工作日内前来开具增值税发票，逾期按普票开具，不再开具专票。</w:t>
      </w:r>
    </w:p>
    <w:p>
      <w:pPr>
        <w:spacing w:line="440" w:lineRule="exact"/>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26.4.2、本询价项目招标代理服务费等其他费用由成交供应商承担，本项目招标代理服务费及其他费用合计</w:t>
      </w:r>
      <w:r>
        <w:rPr>
          <w:rFonts w:hint="eastAsia" w:asciiTheme="minorEastAsia" w:hAnsiTheme="minorEastAsia" w:eastAsiaTheme="minorEastAsia" w:cstheme="minorEastAsia"/>
          <w:szCs w:val="21"/>
          <w:lang w:val="en-US" w:eastAsia="zh-CN"/>
        </w:rPr>
        <w:t>壹万元</w:t>
      </w:r>
      <w:r>
        <w:rPr>
          <w:rFonts w:hint="eastAsia" w:asciiTheme="minorEastAsia" w:hAnsiTheme="minorEastAsia" w:eastAsiaTheme="minorEastAsia" w:cstheme="minorEastAsia"/>
          <w:szCs w:val="21"/>
        </w:rPr>
        <w:t>整（￥</w:t>
      </w:r>
      <w:r>
        <w:rPr>
          <w:rFonts w:hint="eastAsia" w:asciiTheme="minorEastAsia" w:hAnsiTheme="minorEastAsia" w:eastAsiaTheme="minorEastAsia" w:cstheme="minorEastAsia"/>
          <w:szCs w:val="21"/>
          <w:lang w:val="en-US" w:eastAsia="zh-CN"/>
        </w:rPr>
        <w:t>10000.00</w:t>
      </w:r>
      <w:r>
        <w:rPr>
          <w:rFonts w:hint="eastAsia" w:asciiTheme="minorEastAsia" w:hAnsiTheme="minorEastAsia" w:eastAsiaTheme="minorEastAsia" w:cstheme="minorEastAsia"/>
          <w:szCs w:val="21"/>
        </w:rPr>
        <w:t xml:space="preserve"> 元）。</w:t>
      </w:r>
    </w:p>
    <w:p>
      <w:pPr>
        <w:widowControl/>
        <w:spacing w:line="500" w:lineRule="exact"/>
        <w:ind w:firstLine="422"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b/>
        </w:rPr>
        <w:t xml:space="preserve"> </w:t>
      </w:r>
      <w:r>
        <w:rPr>
          <w:rFonts w:hint="eastAsia" w:asciiTheme="minorEastAsia" w:hAnsiTheme="minorEastAsia" w:eastAsiaTheme="minorEastAsia" w:cstheme="minorEastAsia"/>
          <w:szCs w:val="21"/>
        </w:rPr>
        <w:t>26.5、中标通知书</w:t>
      </w:r>
      <w:bookmarkEnd w:id="67"/>
      <w:bookmarkEnd w:id="68"/>
      <w:bookmarkEnd w:id="69"/>
    </w:p>
    <w:p>
      <w:pPr>
        <w:widowControl/>
        <w:spacing w:line="500" w:lineRule="exact"/>
        <w:ind w:firstLine="42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采购人在评审报告推荐的中标候选人中按顺序确定中标人。采购人将向中标人发出中标通知书，同时在安徽泰杰工程咨询有限公司</w:t>
      </w:r>
      <w:r>
        <w:rPr>
          <w:rFonts w:hint="eastAsia" w:ascii="宋体" w:hAnsi="宋体"/>
          <w:szCs w:val="21"/>
        </w:rPr>
        <w:t>（http://www.ahtaijie.com/）</w:t>
      </w:r>
      <w:r>
        <w:rPr>
          <w:rFonts w:hint="eastAsia" w:asciiTheme="minorEastAsia" w:hAnsiTheme="minorEastAsia" w:eastAsiaTheme="minorEastAsia" w:cstheme="minorEastAsia"/>
          <w:szCs w:val="21"/>
        </w:rPr>
        <w:t>上公告中标结果。投标人如有质疑、投诉，必须在中标公告规定的质疑、投诉期内向有关机构提出。</w:t>
      </w:r>
    </w:p>
    <w:p>
      <w:pPr>
        <w:widowControl/>
        <w:spacing w:line="500" w:lineRule="exact"/>
        <w:ind w:firstLine="42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26.6、采购人在收到评标报告5个工作日内未按评标报告推荐的中标候选人顺序确定中标人，又不能说明合法理由的，视同按评标报告推荐的顺序确定排名第一的中标候选人为中标人。</w:t>
      </w:r>
    </w:p>
    <w:p>
      <w:pPr>
        <w:widowControl/>
        <w:spacing w:line="500" w:lineRule="exact"/>
        <w:jc w:val="left"/>
        <w:rPr>
          <w:rFonts w:asciiTheme="minorEastAsia" w:hAnsiTheme="minorEastAsia" w:eastAsiaTheme="minorEastAsia" w:cstheme="minorEastAsia"/>
          <w:szCs w:val="21"/>
        </w:rPr>
      </w:pPr>
      <w:bookmarkStart w:id="70" w:name="_Toc417655920"/>
      <w:bookmarkStart w:id="71" w:name="_Toc2342"/>
      <w:bookmarkStart w:id="72" w:name="_Toc418517857"/>
      <w:r>
        <w:rPr>
          <w:rFonts w:hint="eastAsia" w:asciiTheme="minorEastAsia" w:hAnsiTheme="minorEastAsia" w:eastAsiaTheme="minorEastAsia" w:cstheme="minorEastAsia"/>
          <w:b/>
          <w:bCs/>
          <w:szCs w:val="20"/>
        </w:rPr>
        <w:t xml:space="preserve">   </w:t>
      </w:r>
      <w:r>
        <w:rPr>
          <w:rFonts w:hint="eastAsia" w:asciiTheme="minorEastAsia" w:hAnsiTheme="minorEastAsia" w:eastAsiaTheme="minorEastAsia" w:cstheme="minorEastAsia"/>
          <w:szCs w:val="21"/>
        </w:rPr>
        <w:t xml:space="preserve"> 26.</w:t>
      </w:r>
      <w:bookmarkEnd w:id="70"/>
      <w:bookmarkEnd w:id="71"/>
      <w:bookmarkEnd w:id="72"/>
      <w:r>
        <w:rPr>
          <w:rFonts w:hint="eastAsia" w:asciiTheme="minorEastAsia" w:hAnsiTheme="minorEastAsia" w:eastAsiaTheme="minorEastAsia" w:cstheme="minorEastAsia"/>
          <w:szCs w:val="21"/>
        </w:rPr>
        <w:t>7、根据相关规定，对中标或成交结果提出质疑的，为中标或成交结果公告期限届满之日起七个工作日内向采购人提出。建议在中标公告质疑期满（无异议）后，采购人与中标人签订采购合同。</w:t>
      </w:r>
    </w:p>
    <w:p>
      <w:pPr>
        <w:pStyle w:val="6"/>
        <w:rPr>
          <w:rFonts w:asciiTheme="minorEastAsia" w:hAnsiTheme="minorEastAsia" w:eastAsiaTheme="minorEastAsia" w:cstheme="minorEastAsia"/>
          <w:b w:val="0"/>
          <w:bCs/>
          <w:szCs w:val="21"/>
        </w:rPr>
      </w:pPr>
      <w:bookmarkStart w:id="73" w:name="_Toc23509"/>
      <w:r>
        <w:rPr>
          <w:rFonts w:hint="eastAsia" w:asciiTheme="minorEastAsia" w:hAnsiTheme="minorEastAsia" w:eastAsiaTheme="minorEastAsia" w:cstheme="minorEastAsia"/>
          <w:bCs/>
          <w:szCs w:val="21"/>
        </w:rPr>
        <w:t xml:space="preserve">    </w:t>
      </w:r>
      <w:bookmarkStart w:id="74" w:name="_Toc24974"/>
      <w:r>
        <w:rPr>
          <w:rFonts w:hint="eastAsia" w:asciiTheme="minorEastAsia" w:hAnsiTheme="minorEastAsia" w:eastAsiaTheme="minorEastAsia" w:cstheme="minorEastAsia"/>
          <w:bCs/>
          <w:szCs w:val="21"/>
        </w:rPr>
        <w:t>八、合同授予</w:t>
      </w:r>
      <w:bookmarkEnd w:id="73"/>
      <w:bookmarkEnd w:id="74"/>
    </w:p>
    <w:p>
      <w:pPr>
        <w:widowControl/>
        <w:spacing w:line="500" w:lineRule="exact"/>
        <w:jc w:val="left"/>
        <w:rPr>
          <w:rFonts w:asciiTheme="minorEastAsia" w:hAnsiTheme="minorEastAsia" w:eastAsiaTheme="minorEastAsia" w:cstheme="minorEastAsia"/>
          <w:b/>
          <w:szCs w:val="21"/>
        </w:rPr>
      </w:pPr>
      <w:r>
        <w:rPr>
          <w:rFonts w:hint="eastAsia" w:asciiTheme="minorEastAsia" w:hAnsiTheme="minorEastAsia" w:eastAsiaTheme="minorEastAsia" w:cstheme="minorEastAsia"/>
          <w:szCs w:val="21"/>
        </w:rPr>
        <w:t xml:space="preserve">    </w:t>
      </w:r>
      <w:r>
        <w:rPr>
          <w:rFonts w:hint="eastAsia" w:asciiTheme="minorEastAsia" w:hAnsiTheme="minorEastAsia" w:eastAsiaTheme="minorEastAsia" w:cstheme="minorEastAsia"/>
          <w:b/>
          <w:szCs w:val="21"/>
        </w:rPr>
        <w:t>27、</w:t>
      </w:r>
      <w:bookmarkStart w:id="75" w:name="_Toc417655923"/>
      <w:bookmarkStart w:id="76" w:name="_Toc418517860"/>
      <w:bookmarkStart w:id="77" w:name="_Toc21358"/>
      <w:r>
        <w:rPr>
          <w:rFonts w:hint="eastAsia" w:asciiTheme="minorEastAsia" w:hAnsiTheme="minorEastAsia" w:eastAsiaTheme="minorEastAsia" w:cstheme="minorEastAsia"/>
          <w:b/>
          <w:szCs w:val="21"/>
        </w:rPr>
        <w:t>签订合同</w:t>
      </w:r>
      <w:bookmarkEnd w:id="75"/>
      <w:bookmarkEnd w:id="76"/>
      <w:bookmarkEnd w:id="77"/>
    </w:p>
    <w:p>
      <w:pPr>
        <w:widowControl/>
        <w:spacing w:line="5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27.1、中标人的中标价即为合同价款。</w:t>
      </w:r>
    </w:p>
    <w:p>
      <w:pPr>
        <w:widowControl/>
        <w:spacing w:line="5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27.2、中标人在收到中标通知书起10个工作日天内，与采购人签订合同。</w:t>
      </w:r>
    </w:p>
    <w:p>
      <w:pPr>
        <w:widowControl/>
        <w:spacing w:line="500" w:lineRule="exact"/>
        <w:ind w:firstLine="405"/>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szCs w:val="21"/>
        </w:rPr>
        <w:t>27.3、</w:t>
      </w:r>
      <w:r>
        <w:rPr>
          <w:rFonts w:hint="eastAsia" w:ascii="宋体" w:hAnsi="宋体"/>
          <w:szCs w:val="21"/>
        </w:rPr>
        <w:t>中标人拒绝与采购人签订合同的，采购人重新组织采购或采用经批准的其他方式确定成交供应商。</w:t>
      </w:r>
    </w:p>
    <w:p>
      <w:pPr>
        <w:widowControl/>
        <w:spacing w:line="500" w:lineRule="exact"/>
        <w:jc w:val="left"/>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 xml:space="preserve">    28、履约保证金</w:t>
      </w:r>
    </w:p>
    <w:p>
      <w:pPr>
        <w:widowControl/>
        <w:spacing w:line="5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28.1、中标人在签订合同前必须按招标文件的约定，及时、足额向采购人提交履约保证金。</w:t>
      </w:r>
    </w:p>
    <w:p>
      <w:pPr>
        <w:widowControl/>
        <w:spacing w:line="5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28.2、若中标人不能按投标人须知前附表执行，采购人可在无须征得中标人同意的情况下，不与其签订合同。给采购单位造成的损失，还应当予以赔偿。</w:t>
      </w:r>
    </w:p>
    <w:p>
      <w:pPr>
        <w:widowControl/>
        <w:spacing w:line="500" w:lineRule="exact"/>
        <w:ind w:firstLine="42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28.3、履约保证金按合同条款</w:t>
      </w:r>
      <w:r>
        <w:rPr>
          <w:rFonts w:hint="eastAsia" w:asciiTheme="minorEastAsia" w:hAnsiTheme="minorEastAsia" w:eastAsiaTheme="minorEastAsia" w:cstheme="minorEastAsia"/>
          <w:kern w:val="0"/>
          <w:szCs w:val="21"/>
        </w:rPr>
        <w:t>约定</w:t>
      </w:r>
      <w:r>
        <w:rPr>
          <w:rFonts w:hint="eastAsia" w:asciiTheme="minorEastAsia" w:hAnsiTheme="minorEastAsia" w:eastAsiaTheme="minorEastAsia" w:cstheme="minorEastAsia"/>
          <w:szCs w:val="21"/>
        </w:rPr>
        <w:t>退还。</w:t>
      </w:r>
    </w:p>
    <w:p>
      <w:pPr>
        <w:widowControl/>
        <w:spacing w:line="500" w:lineRule="exact"/>
        <w:ind w:firstLine="422" w:firstLineChars="200"/>
        <w:jc w:val="left"/>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29、质疑的提出与接收</w:t>
      </w:r>
    </w:p>
    <w:p>
      <w:pPr>
        <w:widowControl/>
        <w:spacing w:line="50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29.1投标人认为招标文件、招标过程和中标结果使自己的权益受到损害的，可以根据《中华人民共和国政府采购法》、《中华人民共和国政府采购法实施条例》和《政府采购质疑和投诉办法》的有关规定，依法向采购人或其委托的采购代理机构提出质疑。</w:t>
      </w:r>
    </w:p>
    <w:p>
      <w:pPr>
        <w:widowControl/>
        <w:spacing w:line="50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29.2质疑供应商应当是参与所质疑项目采购活动的供应商。质疑供应商应按照财政部制定的《政府采购供应商质疑函范本》格式（详见招标文件第七章）和《政府采购质疑和投诉办法》的要求，在法定质疑期内以书面形式提出质疑，超出法定质疑期提交的质疑将被拒绝。针对同一采购程序环节的质疑应一次性提出。</w:t>
      </w:r>
    </w:p>
    <w:p>
      <w:pPr>
        <w:widowControl/>
        <w:spacing w:line="50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29.3采购代理机构质疑函接收部门、联系电话和通讯地址，见投标人须知前附表。</w:t>
      </w:r>
    </w:p>
    <w:p>
      <w:pPr>
        <w:widowControl/>
        <w:spacing w:line="500" w:lineRule="exact"/>
        <w:ind w:firstLine="420"/>
        <w:jc w:val="left"/>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30、未尽事宜</w:t>
      </w:r>
    </w:p>
    <w:p>
      <w:pPr>
        <w:widowControl/>
        <w:spacing w:line="500" w:lineRule="exact"/>
        <w:ind w:firstLine="405"/>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按《中华人民共和国政府采购法》、《中华人民共和国政府采购法实施条例》及其他有关法律法规规定执行。</w:t>
      </w:r>
    </w:p>
    <w:p>
      <w:pPr>
        <w:widowControl/>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br w:type="page"/>
      </w:r>
    </w:p>
    <w:p>
      <w:pPr>
        <w:pStyle w:val="3"/>
        <w:numPr>
          <w:ilvl w:val="0"/>
          <w:numId w:val="1"/>
        </w:numPr>
        <w:rPr>
          <w:rFonts w:asciiTheme="minorEastAsia" w:hAnsiTheme="minorEastAsia" w:eastAsiaTheme="minorEastAsia" w:cstheme="minorEastAsia"/>
        </w:rPr>
      </w:pPr>
      <w:bookmarkStart w:id="78" w:name="_Toc8705"/>
      <w:bookmarkStart w:id="79" w:name="_Toc2478"/>
      <w:r>
        <w:rPr>
          <w:rFonts w:hint="eastAsia" w:asciiTheme="minorEastAsia" w:hAnsiTheme="minorEastAsia" w:eastAsiaTheme="minorEastAsia" w:cstheme="minorEastAsia"/>
        </w:rPr>
        <w:t>评标方法和标准</w:t>
      </w:r>
      <w:bookmarkEnd w:id="78"/>
      <w:bookmarkEnd w:id="79"/>
    </w:p>
    <w:p>
      <w:pPr>
        <w:spacing w:line="360" w:lineRule="auto"/>
        <w:ind w:firstLine="422"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评标方法：</w:t>
      </w:r>
      <w:r>
        <w:rPr>
          <w:rFonts w:hint="eastAsia" w:asciiTheme="minorEastAsia" w:hAnsiTheme="minorEastAsia" w:eastAsiaTheme="minorEastAsia" w:cstheme="minorEastAsia"/>
          <w:szCs w:val="21"/>
        </w:rPr>
        <w:t>综合评分法。</w:t>
      </w:r>
    </w:p>
    <w:p>
      <w:pPr>
        <w:widowControl/>
        <w:spacing w:line="360" w:lineRule="auto"/>
        <w:ind w:firstLine="422" w:firstLineChars="200"/>
        <w:jc w:val="left"/>
        <w:rPr>
          <w:rFonts w:ascii="宋体" w:hAnsi="宋体"/>
          <w:szCs w:val="21"/>
        </w:rPr>
      </w:pPr>
      <w:r>
        <w:rPr>
          <w:rFonts w:hint="eastAsia" w:asciiTheme="minorEastAsia" w:hAnsiTheme="minorEastAsia" w:eastAsiaTheme="minorEastAsia" w:cstheme="minorEastAsia"/>
          <w:b/>
          <w:bCs/>
          <w:color w:val="000000"/>
          <w:szCs w:val="21"/>
        </w:rPr>
        <w:t>1、澄清有关问题：</w:t>
      </w:r>
      <w:r>
        <w:rPr>
          <w:rFonts w:hint="eastAsia" w:ascii="宋体" w:hAnsi="宋体"/>
          <w:szCs w:val="21"/>
        </w:rPr>
        <w:t>在评审过程中,评标委员会可以通过纸质询标函对投标人进行询标。针对投标文件中含义不明确、对同类问题表述不一致或者有明显文字和计算错误的内容，评标委员会可要求投标人在30分钟内通过纸质询标函进行澄清、说明或者补正，并提供相关材料。澄清文件将作为投标文件内容的一部分。</w:t>
      </w:r>
    </w:p>
    <w:p>
      <w:pPr>
        <w:spacing w:line="360" w:lineRule="auto"/>
        <w:ind w:firstLine="422" w:firstLineChars="200"/>
        <w:jc w:val="left"/>
        <w:rPr>
          <w:rFonts w:asciiTheme="minorEastAsia" w:hAnsiTheme="minorEastAsia" w:eastAsiaTheme="minorEastAsia" w:cstheme="minorEastAsia"/>
        </w:rPr>
      </w:pPr>
      <w:r>
        <w:rPr>
          <w:rFonts w:hint="eastAsia" w:asciiTheme="minorEastAsia" w:hAnsiTheme="minorEastAsia" w:eastAsiaTheme="minorEastAsia" w:cstheme="minorEastAsia"/>
          <w:b/>
          <w:bCs/>
          <w:color w:val="000000"/>
          <w:szCs w:val="21"/>
        </w:rPr>
        <w:t>2、评标程序</w:t>
      </w:r>
      <w:r>
        <w:rPr>
          <w:rFonts w:hint="eastAsia" w:asciiTheme="minorEastAsia" w:hAnsiTheme="minorEastAsia" w:eastAsiaTheme="minorEastAsia" w:cstheme="minorEastAsia"/>
          <w:color w:val="000000"/>
          <w:szCs w:val="21"/>
        </w:rPr>
        <w:t>：</w:t>
      </w:r>
    </w:p>
    <w:p>
      <w:pPr>
        <w:spacing w:line="360" w:lineRule="auto"/>
        <w:ind w:firstLine="420" w:firstLineChars="200"/>
        <w:jc w:val="left"/>
        <w:rPr>
          <w:rFonts w:asciiTheme="minorEastAsia" w:hAnsiTheme="minorEastAsia" w:eastAsiaTheme="minorEastAsia" w:cstheme="minorEastAsia"/>
          <w:b/>
          <w:color w:val="000000"/>
          <w:szCs w:val="21"/>
        </w:rPr>
      </w:pPr>
      <w:r>
        <w:rPr>
          <w:rFonts w:hint="eastAsia" w:asciiTheme="minorEastAsia" w:hAnsiTheme="minorEastAsia" w:eastAsiaTheme="minorEastAsia" w:cstheme="minorEastAsia"/>
          <w:color w:val="000000"/>
          <w:szCs w:val="21"/>
        </w:rPr>
        <w:t>评标包括投标文件资格审查、符合性审查报价评审、综合评分、失信核查和确定中标候选人排序。如有任一项未通过的则不进入下一项评审。按照评标程序、评分标准以及权重分配的规定，评委会各成员分别就各投标人的技术状况、商务状况及其对招标文件要求的响应情况进行评议和比较，并逐一独立评分，满分100分，投标人的最终得分为各评委评分的平均值。</w:t>
      </w:r>
    </w:p>
    <w:p>
      <w:pPr>
        <w:widowControl/>
        <w:spacing w:line="500" w:lineRule="exact"/>
        <w:ind w:firstLine="420" w:firstLineChars="200"/>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2.1、资格审查：经资格审查后，合格投标人不足3家的，不得评标。</w:t>
      </w:r>
    </w:p>
    <w:tbl>
      <w:tblPr>
        <w:tblStyle w:val="2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7"/>
        <w:gridCol w:w="1635"/>
        <w:gridCol w:w="2021"/>
        <w:gridCol w:w="5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5000" w:type="pct"/>
            <w:gridSpan w:val="4"/>
            <w:tcBorders>
              <w:bottom w:val="single" w:color="auto" w:sz="4" w:space="0"/>
            </w:tcBorders>
            <w:vAlign w:val="center"/>
          </w:tcPr>
          <w:p>
            <w:pPr>
              <w:adjustRightInd w:val="0"/>
              <w:snapToGrid w:val="0"/>
              <w:spacing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资格审查表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 w:type="pct"/>
            <w:tcBorders>
              <w:bottom w:val="single" w:color="auto" w:sz="4" w:space="0"/>
            </w:tcBorders>
            <w:vAlign w:val="center"/>
          </w:tcPr>
          <w:p>
            <w:pPr>
              <w:adjustRightInd w:val="0"/>
              <w:snapToGrid w:val="0"/>
              <w:spacing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846" w:type="pct"/>
            <w:tcBorders>
              <w:bottom w:val="single" w:color="auto" w:sz="4" w:space="0"/>
            </w:tcBorders>
            <w:vAlign w:val="center"/>
          </w:tcPr>
          <w:p>
            <w:pPr>
              <w:pStyle w:val="73"/>
              <w:pBdr>
                <w:bottom w:val="none" w:color="auto" w:sz="0" w:space="0"/>
              </w:pBdr>
              <w:tabs>
                <w:tab w:val="clear" w:pos="4153"/>
                <w:tab w:val="clear" w:pos="8306"/>
              </w:tabs>
              <w:snapToGrid w:val="0"/>
              <w:spacing w:line="360" w:lineRule="auto"/>
              <w:ind w:right="-10"/>
              <w:textAlignment w:val="auto"/>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评审指标</w:t>
            </w:r>
          </w:p>
        </w:tc>
        <w:tc>
          <w:tcPr>
            <w:tcW w:w="1046" w:type="pct"/>
            <w:tcBorders>
              <w:bottom w:val="single" w:color="auto" w:sz="4" w:space="0"/>
            </w:tcBorders>
            <w:vAlign w:val="center"/>
          </w:tcPr>
          <w:p>
            <w:pPr>
              <w:adjustRightInd w:val="0"/>
              <w:snapToGrid w:val="0"/>
              <w:spacing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评审标准</w:t>
            </w:r>
          </w:p>
        </w:tc>
        <w:tc>
          <w:tcPr>
            <w:tcW w:w="2735" w:type="pct"/>
            <w:tcBorders>
              <w:bottom w:val="single" w:color="auto" w:sz="4" w:space="0"/>
            </w:tcBorders>
            <w:vAlign w:val="center"/>
          </w:tcPr>
          <w:p>
            <w:pPr>
              <w:adjustRightInd w:val="0"/>
              <w:snapToGrid w:val="0"/>
              <w:spacing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格式及材料要求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jc w:val="center"/>
        </w:trPr>
        <w:tc>
          <w:tcPr>
            <w:tcW w:w="371" w:type="pct"/>
            <w:tcBorders>
              <w:bottom w:val="single" w:color="auto" w:sz="4" w:space="0"/>
            </w:tcBorders>
            <w:vAlign w:val="center"/>
          </w:tcPr>
          <w:p>
            <w:pPr>
              <w:adjustRightInd w:val="0"/>
              <w:snapToGrid w:val="0"/>
              <w:spacing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846" w:type="pct"/>
            <w:tcBorders>
              <w:bottom w:val="single" w:color="auto" w:sz="4" w:space="0"/>
            </w:tcBorders>
            <w:vAlign w:val="center"/>
          </w:tcPr>
          <w:p>
            <w:pPr>
              <w:spacing w:after="50"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营业执照</w:t>
            </w:r>
          </w:p>
        </w:tc>
        <w:tc>
          <w:tcPr>
            <w:tcW w:w="1046" w:type="pct"/>
            <w:tcBorders>
              <w:bottom w:val="single" w:color="auto" w:sz="4" w:space="0"/>
            </w:tcBorders>
            <w:vAlign w:val="center"/>
          </w:tcPr>
          <w:p>
            <w:pPr>
              <w:spacing w:after="50"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合法有效</w:t>
            </w:r>
          </w:p>
        </w:tc>
        <w:tc>
          <w:tcPr>
            <w:tcW w:w="2735" w:type="pct"/>
            <w:vMerge w:val="restart"/>
            <w:vAlign w:val="center"/>
          </w:tcPr>
          <w:p>
            <w:pPr>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提供有效的投标人营业执照（或事业单位法人登记证书）和税务登记证的复印件并加盖供应商公章，应完整的体现出营业执照（或事业单位法人登记证书）和税务登记证的全部内容。已办理“三证合一”登记的，投标文件中提供营业执照（或事业单位法人登记证书复印件并加盖供应商公章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 w:type="pct"/>
            <w:tcBorders>
              <w:bottom w:val="single" w:color="auto" w:sz="4" w:space="0"/>
            </w:tcBorders>
            <w:vAlign w:val="center"/>
          </w:tcPr>
          <w:p>
            <w:pPr>
              <w:adjustRightInd w:val="0"/>
              <w:snapToGrid w:val="0"/>
              <w:spacing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846" w:type="pct"/>
            <w:tcBorders>
              <w:bottom w:val="single" w:color="auto" w:sz="4" w:space="0"/>
            </w:tcBorders>
            <w:vAlign w:val="center"/>
          </w:tcPr>
          <w:p>
            <w:pPr>
              <w:spacing w:after="50"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税务登记证</w:t>
            </w:r>
          </w:p>
        </w:tc>
        <w:tc>
          <w:tcPr>
            <w:tcW w:w="1046" w:type="pct"/>
            <w:tcBorders>
              <w:bottom w:val="single" w:color="auto" w:sz="4" w:space="0"/>
            </w:tcBorders>
            <w:vAlign w:val="center"/>
          </w:tcPr>
          <w:p>
            <w:pPr>
              <w:spacing w:after="50"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合法有效</w:t>
            </w:r>
          </w:p>
        </w:tc>
        <w:tc>
          <w:tcPr>
            <w:tcW w:w="2735" w:type="pct"/>
            <w:vMerge w:val="continue"/>
            <w:tcBorders>
              <w:bottom w:val="single" w:color="auto" w:sz="4" w:space="0"/>
            </w:tcBorders>
            <w:vAlign w:val="center"/>
          </w:tcPr>
          <w:p>
            <w:pPr>
              <w:adjustRightInd w:val="0"/>
              <w:snapToGrid w:val="0"/>
              <w:spacing w:line="360" w:lineRule="auto"/>
              <w:ind w:right="-10"/>
              <w:jc w:val="left"/>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 w:type="pct"/>
            <w:tcBorders>
              <w:bottom w:val="single" w:color="auto" w:sz="4" w:space="0"/>
            </w:tcBorders>
            <w:vAlign w:val="center"/>
          </w:tcPr>
          <w:p>
            <w:pPr>
              <w:adjustRightInd w:val="0"/>
              <w:snapToGrid w:val="0"/>
              <w:spacing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846" w:type="pct"/>
            <w:tcBorders>
              <w:bottom w:val="single" w:color="auto" w:sz="4" w:space="0"/>
            </w:tcBorders>
            <w:vAlign w:val="center"/>
          </w:tcPr>
          <w:p>
            <w:pPr>
              <w:spacing w:after="50"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履行合同所必需的设备专业技术能力证明文件</w:t>
            </w:r>
          </w:p>
        </w:tc>
        <w:tc>
          <w:tcPr>
            <w:tcW w:w="1046" w:type="pct"/>
            <w:tcBorders>
              <w:bottom w:val="single" w:color="auto" w:sz="4" w:space="0"/>
            </w:tcBorders>
            <w:vAlign w:val="center"/>
          </w:tcPr>
          <w:p>
            <w:pPr>
              <w:spacing w:after="50" w:line="360" w:lineRule="auto"/>
              <w:ind w:right="-1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有效</w:t>
            </w:r>
          </w:p>
        </w:tc>
        <w:tc>
          <w:tcPr>
            <w:tcW w:w="2735" w:type="pct"/>
            <w:tcBorders>
              <w:bottom w:val="single" w:color="auto" w:sz="4" w:space="0"/>
            </w:tcBorders>
            <w:vAlign w:val="center"/>
          </w:tcPr>
          <w:p>
            <w:pPr>
              <w:adjustRightInd w:val="0"/>
              <w:snapToGrid w:val="0"/>
              <w:spacing w:line="360" w:lineRule="auto"/>
              <w:ind w:right="-1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按照招标文件格式要求提供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 w:type="pct"/>
            <w:tcBorders>
              <w:bottom w:val="single" w:color="auto" w:sz="4" w:space="0"/>
            </w:tcBorders>
            <w:vAlign w:val="center"/>
          </w:tcPr>
          <w:p>
            <w:pPr>
              <w:adjustRightInd w:val="0"/>
              <w:snapToGrid w:val="0"/>
              <w:spacing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846" w:type="pct"/>
            <w:tcBorders>
              <w:bottom w:val="single" w:color="auto" w:sz="4" w:space="0"/>
            </w:tcBorders>
            <w:vAlign w:val="center"/>
          </w:tcPr>
          <w:p>
            <w:pPr>
              <w:spacing w:after="50"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无重大违法记录声明函、无不良信用记录声明函</w:t>
            </w:r>
          </w:p>
        </w:tc>
        <w:tc>
          <w:tcPr>
            <w:tcW w:w="1046" w:type="pct"/>
            <w:tcBorders>
              <w:bottom w:val="single" w:color="auto" w:sz="4" w:space="0"/>
            </w:tcBorders>
            <w:vAlign w:val="center"/>
          </w:tcPr>
          <w:p>
            <w:pPr>
              <w:spacing w:after="50"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格式、填写要求符合招标文件规定并加盖供应商公章</w:t>
            </w:r>
          </w:p>
        </w:tc>
        <w:tc>
          <w:tcPr>
            <w:tcW w:w="2735" w:type="pct"/>
            <w:tcBorders>
              <w:bottom w:val="single" w:color="auto" w:sz="4" w:space="0"/>
            </w:tcBorders>
            <w:vAlign w:val="center"/>
          </w:tcPr>
          <w:p>
            <w:pPr>
              <w:adjustRightInd w:val="0"/>
              <w:snapToGrid w:val="0"/>
              <w:spacing w:line="360" w:lineRule="auto"/>
              <w:ind w:right="-1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招标文件相关格式要求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 w:type="pct"/>
            <w:tcBorders>
              <w:bottom w:val="single" w:color="auto" w:sz="4" w:space="0"/>
            </w:tcBorders>
            <w:vAlign w:val="center"/>
          </w:tcPr>
          <w:p>
            <w:pPr>
              <w:adjustRightInd w:val="0"/>
              <w:snapToGrid w:val="0"/>
              <w:spacing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846" w:type="pct"/>
            <w:tcBorders>
              <w:bottom w:val="single" w:color="auto" w:sz="4" w:space="0"/>
            </w:tcBorders>
            <w:vAlign w:val="center"/>
          </w:tcPr>
          <w:p>
            <w:pPr>
              <w:spacing w:after="50"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中小企业声明函</w:t>
            </w:r>
          </w:p>
          <w:p>
            <w:pPr>
              <w:spacing w:after="50"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（专门面向中小企业采购项目适用）</w:t>
            </w:r>
          </w:p>
        </w:tc>
        <w:tc>
          <w:tcPr>
            <w:tcW w:w="1046" w:type="pct"/>
            <w:tcBorders>
              <w:bottom w:val="single" w:color="auto" w:sz="4" w:space="0"/>
            </w:tcBorders>
            <w:vAlign w:val="center"/>
          </w:tcPr>
          <w:p>
            <w:pPr>
              <w:spacing w:after="50"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符合投标人资格中落实政府采购政策需满足的资格要求</w:t>
            </w:r>
          </w:p>
        </w:tc>
        <w:tc>
          <w:tcPr>
            <w:tcW w:w="2735" w:type="pct"/>
            <w:tcBorders>
              <w:bottom w:val="single" w:color="auto" w:sz="4" w:space="0"/>
            </w:tcBorders>
            <w:vAlign w:val="center"/>
          </w:tcPr>
          <w:p>
            <w:pPr>
              <w:spacing w:line="500" w:lineRule="exact"/>
              <w:ind w:left="1050" w:leftChars="200" w:hanging="630" w:hangingChars="3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 w:type="pct"/>
            <w:vAlign w:val="center"/>
          </w:tcPr>
          <w:p>
            <w:pPr>
              <w:adjustRightInd w:val="0"/>
              <w:snapToGrid w:val="0"/>
              <w:spacing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846" w:type="pct"/>
            <w:vAlign w:val="center"/>
          </w:tcPr>
          <w:p>
            <w:pPr>
              <w:spacing w:after="50"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投标人资质</w:t>
            </w:r>
          </w:p>
        </w:tc>
        <w:tc>
          <w:tcPr>
            <w:tcW w:w="1046" w:type="pct"/>
            <w:vAlign w:val="center"/>
          </w:tcPr>
          <w:p>
            <w:pPr>
              <w:spacing w:after="50"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符合投标人资格中的资质要求</w:t>
            </w:r>
          </w:p>
        </w:tc>
        <w:tc>
          <w:tcPr>
            <w:tcW w:w="2735" w:type="pct"/>
            <w:vAlign w:val="center"/>
          </w:tcPr>
          <w:p>
            <w:pPr>
              <w:adjustRightInd w:val="0"/>
              <w:snapToGrid w:val="0"/>
              <w:spacing w:line="360" w:lineRule="auto"/>
              <w:ind w:right="-1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同招标公告</w:t>
            </w:r>
          </w:p>
        </w:tc>
      </w:tr>
    </w:tbl>
    <w:p>
      <w:pPr>
        <w:widowControl/>
        <w:spacing w:line="500" w:lineRule="exact"/>
        <w:ind w:firstLine="420" w:firstLineChars="200"/>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2.2符合性审查：</w:t>
      </w:r>
    </w:p>
    <w:p>
      <w:pPr>
        <w:widowControl/>
        <w:spacing w:line="500" w:lineRule="exact"/>
        <w:ind w:firstLine="420" w:firstLineChars="200"/>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2.2.1评委会成员依据招标文件的要求，对所有投标人提交的投标文件进行符合性审查。如果投标文件不满足符合性审查表中其中任何一项要求，评委会可认为该投标文件不符合招标文件的要求而不能通过符合性审查，评委会可拒绝对其作进一步的评审。</w:t>
      </w:r>
    </w:p>
    <w:tbl>
      <w:tblPr>
        <w:tblStyle w:val="28"/>
        <w:tblW w:w="512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2"/>
        <w:gridCol w:w="2003"/>
        <w:gridCol w:w="7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5000" w:type="pct"/>
            <w:gridSpan w:val="3"/>
            <w:tcBorders>
              <w:bottom w:val="single" w:color="auto" w:sz="4" w:space="0"/>
            </w:tcBorders>
            <w:vAlign w:val="center"/>
          </w:tcPr>
          <w:p>
            <w:pPr>
              <w:adjustRightInd w:val="0"/>
              <w:snapToGrid w:val="0"/>
              <w:spacing w:line="360" w:lineRule="auto"/>
              <w:ind w:right="-10"/>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符合性审查表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380" w:type="pct"/>
            <w:tcBorders>
              <w:bottom w:val="single" w:color="auto" w:sz="4" w:space="0"/>
            </w:tcBorders>
            <w:vAlign w:val="center"/>
          </w:tcPr>
          <w:p>
            <w:pPr>
              <w:adjustRightInd w:val="0"/>
              <w:snapToGrid w:val="0"/>
              <w:spacing w:line="360" w:lineRule="auto"/>
              <w:ind w:right="-1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序号</w:t>
            </w:r>
          </w:p>
        </w:tc>
        <w:tc>
          <w:tcPr>
            <w:tcW w:w="1011" w:type="pct"/>
            <w:tcBorders>
              <w:bottom w:val="single" w:color="auto" w:sz="4" w:space="0"/>
            </w:tcBorders>
            <w:vAlign w:val="center"/>
          </w:tcPr>
          <w:p>
            <w:pPr>
              <w:pStyle w:val="73"/>
              <w:pBdr>
                <w:bottom w:val="none" w:color="auto" w:sz="0" w:space="0"/>
              </w:pBdr>
              <w:tabs>
                <w:tab w:val="clear" w:pos="4153"/>
                <w:tab w:val="clear" w:pos="8306"/>
              </w:tabs>
              <w:snapToGrid w:val="0"/>
              <w:spacing w:line="360" w:lineRule="auto"/>
              <w:ind w:right="-10"/>
              <w:textAlignment w:val="auto"/>
              <w:rPr>
                <w:rFonts w:asciiTheme="minorEastAsia" w:hAnsiTheme="minorEastAsia" w:eastAsiaTheme="minorEastAsia" w:cstheme="minorEastAsia"/>
                <w:kern w:val="2"/>
                <w:szCs w:val="24"/>
              </w:rPr>
            </w:pPr>
            <w:r>
              <w:rPr>
                <w:rFonts w:hint="eastAsia" w:asciiTheme="minorEastAsia" w:hAnsiTheme="minorEastAsia" w:eastAsiaTheme="minorEastAsia" w:cstheme="minorEastAsia"/>
                <w:kern w:val="2"/>
                <w:szCs w:val="24"/>
              </w:rPr>
              <w:t>评审指标</w:t>
            </w:r>
          </w:p>
        </w:tc>
        <w:tc>
          <w:tcPr>
            <w:tcW w:w="3608" w:type="pct"/>
            <w:tcBorders>
              <w:bottom w:val="single" w:color="auto" w:sz="4" w:space="0"/>
            </w:tcBorders>
            <w:vAlign w:val="center"/>
          </w:tcPr>
          <w:p>
            <w:pPr>
              <w:adjustRightInd w:val="0"/>
              <w:snapToGrid w:val="0"/>
              <w:spacing w:line="360" w:lineRule="auto"/>
              <w:ind w:right="-1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0" w:type="pct"/>
            <w:vAlign w:val="center"/>
          </w:tcPr>
          <w:p>
            <w:pPr>
              <w:adjustRightInd w:val="0"/>
              <w:snapToGrid w:val="0"/>
              <w:spacing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1011" w:type="pct"/>
            <w:vAlign w:val="center"/>
          </w:tcPr>
          <w:p>
            <w:pPr>
              <w:spacing w:after="50"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投标函</w:t>
            </w:r>
          </w:p>
        </w:tc>
        <w:tc>
          <w:tcPr>
            <w:tcW w:w="3608" w:type="pct"/>
            <w:vAlign w:val="center"/>
          </w:tcPr>
          <w:p>
            <w:pPr>
              <w:adjustRightInd w:val="0"/>
              <w:snapToGrid w:val="0"/>
              <w:spacing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格式、填写要求符合招标文件规定并加盖供应商公章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0" w:type="pct"/>
            <w:vAlign w:val="center"/>
          </w:tcPr>
          <w:p>
            <w:pPr>
              <w:adjustRightInd w:val="0"/>
              <w:snapToGrid w:val="0"/>
              <w:spacing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1011" w:type="pct"/>
            <w:vAlign w:val="center"/>
          </w:tcPr>
          <w:p>
            <w:pPr>
              <w:spacing w:after="50"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法定代表人身份证书或授权委托书</w:t>
            </w:r>
          </w:p>
        </w:tc>
        <w:tc>
          <w:tcPr>
            <w:tcW w:w="3608" w:type="pct"/>
            <w:vAlign w:val="center"/>
          </w:tcPr>
          <w:p>
            <w:pPr>
              <w:adjustRightInd w:val="0"/>
              <w:snapToGrid w:val="0"/>
              <w:spacing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格式、填写要求符合招标文件规定并加盖供应商公章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0" w:type="pct"/>
            <w:vAlign w:val="center"/>
          </w:tcPr>
          <w:p>
            <w:pPr>
              <w:adjustRightInd w:val="0"/>
              <w:snapToGrid w:val="0"/>
              <w:spacing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1011" w:type="pct"/>
            <w:vAlign w:val="center"/>
          </w:tcPr>
          <w:p>
            <w:pPr>
              <w:spacing w:after="50"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投标报价</w:t>
            </w:r>
          </w:p>
        </w:tc>
        <w:tc>
          <w:tcPr>
            <w:tcW w:w="3608" w:type="pct"/>
            <w:vAlign w:val="center"/>
          </w:tcPr>
          <w:p>
            <w:pPr>
              <w:adjustRightInd w:val="0"/>
              <w:snapToGrid w:val="0"/>
              <w:spacing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符合招标文件投标人须知要求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0" w:type="pct"/>
            <w:vAlign w:val="center"/>
          </w:tcPr>
          <w:p>
            <w:pPr>
              <w:adjustRightInd w:val="0"/>
              <w:snapToGrid w:val="0"/>
              <w:spacing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1011" w:type="pct"/>
            <w:vAlign w:val="center"/>
          </w:tcPr>
          <w:p>
            <w:pPr>
              <w:spacing w:after="50"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联合体协议（如有）</w:t>
            </w:r>
          </w:p>
        </w:tc>
        <w:tc>
          <w:tcPr>
            <w:tcW w:w="3608" w:type="pct"/>
            <w:vAlign w:val="center"/>
          </w:tcPr>
          <w:p>
            <w:pPr>
              <w:adjustRightInd w:val="0"/>
              <w:snapToGrid w:val="0"/>
              <w:spacing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格式、填写要求符合招标文件规定并加盖供应商公章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0" w:type="pct"/>
            <w:vAlign w:val="center"/>
          </w:tcPr>
          <w:p>
            <w:pPr>
              <w:adjustRightInd w:val="0"/>
              <w:snapToGrid w:val="0"/>
              <w:spacing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1011" w:type="pct"/>
            <w:vAlign w:val="center"/>
          </w:tcPr>
          <w:p>
            <w:pPr>
              <w:spacing w:after="50"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其他要求</w:t>
            </w:r>
          </w:p>
        </w:tc>
        <w:tc>
          <w:tcPr>
            <w:tcW w:w="3608" w:type="pct"/>
            <w:vAlign w:val="center"/>
          </w:tcPr>
          <w:p>
            <w:pPr>
              <w:adjustRightInd w:val="0"/>
              <w:snapToGrid w:val="0"/>
              <w:spacing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符合法律、行政法规规定的其他条件或招标文件列明的其他要求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3"/>
          </w:tcPr>
          <w:p>
            <w:pPr>
              <w:adjustRightInd w:val="0"/>
              <w:snapToGrid w:val="0"/>
              <w:spacing w:line="360" w:lineRule="auto"/>
              <w:ind w:right="-10"/>
              <w:rPr>
                <w:rFonts w:asciiTheme="minorEastAsia" w:hAnsiTheme="minorEastAsia" w:eastAsiaTheme="minorEastAsia" w:cstheme="minorEastAsia"/>
                <w:sz w:val="24"/>
                <w:szCs w:val="28"/>
              </w:rPr>
            </w:pPr>
            <w:r>
              <w:rPr>
                <w:rFonts w:hint="eastAsia" w:asciiTheme="minorEastAsia" w:hAnsiTheme="minorEastAsia" w:eastAsiaTheme="minorEastAsia" w:cstheme="minorEastAsia"/>
                <w:szCs w:val="21"/>
              </w:rPr>
              <w:t>评审指标通过标准：投标人必须通过上述全部指标。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3"/>
          </w:tcPr>
          <w:p>
            <w:pPr>
              <w:widowControl/>
              <w:spacing w:line="500" w:lineRule="exact"/>
              <w:jc w:val="left"/>
              <w:rPr>
                <w:rFonts w:asciiTheme="minorEastAsia" w:hAnsiTheme="minorEastAsia" w:eastAsiaTheme="minorEastAsia" w:cstheme="minorEastAsia"/>
                <w:b/>
                <w:szCs w:val="21"/>
              </w:rPr>
            </w:pPr>
            <w:r>
              <w:rPr>
                <w:rFonts w:hint="eastAsia" w:asciiTheme="minorEastAsia" w:hAnsiTheme="minorEastAsia" w:eastAsiaTheme="minorEastAsia" w:cstheme="minorEastAsia"/>
              </w:rPr>
              <w:t>注：</w:t>
            </w:r>
            <w:r>
              <w:rPr>
                <w:rFonts w:hint="eastAsia" w:asciiTheme="minorEastAsia" w:hAnsiTheme="minorEastAsia" w:eastAsiaTheme="minorEastAsia" w:cstheme="minorEastAsia"/>
                <w:b/>
                <w:szCs w:val="21"/>
              </w:rPr>
              <w:t xml:space="preserve"> </w:t>
            </w:r>
          </w:p>
          <w:p>
            <w:pPr>
              <w:spacing w:line="360" w:lineRule="auto"/>
              <w:jc w:val="left"/>
              <w:rPr>
                <w:rFonts w:asciiTheme="minorEastAsia" w:hAnsiTheme="minorEastAsia" w:eastAsiaTheme="minorEastAsia" w:cstheme="minorEastAsia"/>
              </w:rPr>
            </w:pPr>
            <w:r>
              <w:rPr>
                <w:rFonts w:hint="eastAsia" w:asciiTheme="minorEastAsia" w:hAnsiTheme="minorEastAsia" w:eastAsiaTheme="minorEastAsia" w:cstheme="minorEastAsia"/>
              </w:rPr>
              <w:t xml:space="preserve">    1、</w:t>
            </w:r>
            <w:r>
              <w:rPr>
                <w:rFonts w:hint="eastAsia" w:asciiTheme="minorEastAsia" w:hAnsiTheme="minorEastAsia" w:eastAsiaTheme="minorEastAsia" w:cstheme="minorEastAsia"/>
                <w:szCs w:val="21"/>
              </w:rPr>
              <w:t>招标文件所有要求提供复印件的，均须加盖投标人公章。</w:t>
            </w:r>
          </w:p>
          <w:p>
            <w:pPr>
              <w:spacing w:line="360" w:lineRule="auto"/>
              <w:jc w:val="left"/>
              <w:rPr>
                <w:rFonts w:asciiTheme="minorEastAsia" w:hAnsiTheme="minorEastAsia" w:eastAsiaTheme="minorEastAsia" w:cstheme="minorEastAsia"/>
              </w:rPr>
            </w:pPr>
            <w:r>
              <w:rPr>
                <w:rFonts w:hint="eastAsia" w:asciiTheme="minorEastAsia" w:hAnsiTheme="minorEastAsia" w:eastAsiaTheme="minorEastAsia" w:cstheme="minorEastAsia"/>
              </w:rPr>
              <w:t xml:space="preserve">    2、</w:t>
            </w:r>
            <w:r>
              <w:rPr>
                <w:rFonts w:hint="eastAsia" w:asciiTheme="minorEastAsia" w:hAnsiTheme="minorEastAsia" w:eastAsiaTheme="minorEastAsia" w:cstheme="minorEastAsia"/>
                <w:szCs w:val="21"/>
              </w:rPr>
              <w:t>若在投标文件中未提供相应复印件，视为投标无效。</w:t>
            </w:r>
          </w:p>
          <w:p>
            <w:pPr>
              <w:spacing w:line="360" w:lineRule="auto"/>
              <w:jc w:val="left"/>
              <w:rPr>
                <w:rFonts w:asciiTheme="minorEastAsia" w:hAnsiTheme="minorEastAsia" w:eastAsiaTheme="minorEastAsia" w:cstheme="minorEastAsia"/>
                <w:sz w:val="24"/>
                <w:szCs w:val="28"/>
              </w:rPr>
            </w:pPr>
            <w:r>
              <w:rPr>
                <w:rFonts w:hint="eastAsia" w:asciiTheme="minorEastAsia" w:hAnsiTheme="minorEastAsia" w:eastAsiaTheme="minorEastAsia" w:cstheme="minorEastAsia"/>
              </w:rPr>
              <w:t xml:space="preserve">    3、</w:t>
            </w:r>
            <w:r>
              <w:rPr>
                <w:rFonts w:hint="eastAsia" w:asciiTheme="minorEastAsia" w:hAnsiTheme="minorEastAsia" w:eastAsiaTheme="minorEastAsia" w:cstheme="minorEastAsia"/>
                <w:szCs w:val="21"/>
              </w:rPr>
              <w:t>投标人须对提供资料、发票等证明材料的真实性负责，若所提供的资料为虚假的，按相关规定处理。</w:t>
            </w:r>
          </w:p>
        </w:tc>
      </w:tr>
    </w:tbl>
    <w:p>
      <w:pPr>
        <w:spacing w:line="360" w:lineRule="auto"/>
        <w:ind w:firstLine="420" w:firstLineChars="200"/>
        <w:rPr>
          <w:rFonts w:asciiTheme="minorEastAsia" w:hAnsiTheme="minorEastAsia" w:eastAsiaTheme="minorEastAsia" w:cstheme="minorEastAsia"/>
          <w:b/>
          <w:bCs/>
          <w:color w:val="000000"/>
          <w:szCs w:val="21"/>
        </w:rPr>
      </w:pPr>
      <w:r>
        <w:rPr>
          <w:rFonts w:hint="eastAsia" w:asciiTheme="minorEastAsia" w:hAnsiTheme="minorEastAsia" w:eastAsiaTheme="minorEastAsia" w:cstheme="minorEastAsia"/>
          <w:szCs w:val="21"/>
        </w:rPr>
        <w:t>2.3</w:t>
      </w:r>
      <w:r>
        <w:rPr>
          <w:rFonts w:hint="eastAsia" w:asciiTheme="minorEastAsia" w:hAnsiTheme="minorEastAsia" w:eastAsiaTheme="minorEastAsia" w:cstheme="minorEastAsia"/>
          <w:b/>
          <w:bCs/>
          <w:color w:val="000000"/>
          <w:szCs w:val="21"/>
        </w:rPr>
        <w:t>报价评审：</w:t>
      </w:r>
    </w:p>
    <w:p>
      <w:pPr>
        <w:widowControl/>
        <w:spacing w:line="500" w:lineRule="exact"/>
        <w:ind w:firstLine="405"/>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2.3.1投标</w:t>
      </w:r>
      <w:r>
        <w:rPr>
          <w:rFonts w:hint="eastAsia" w:asciiTheme="minorEastAsia" w:hAnsiTheme="minorEastAsia" w:eastAsiaTheme="minorEastAsia" w:cstheme="minorEastAsia"/>
          <w:szCs w:val="21"/>
          <w:lang w:eastAsia="zh-CN"/>
        </w:rPr>
        <w:t>总价</w:t>
      </w:r>
      <w:r>
        <w:rPr>
          <w:rFonts w:hint="eastAsia" w:asciiTheme="minorEastAsia" w:hAnsiTheme="minorEastAsia" w:eastAsiaTheme="minorEastAsia" w:cstheme="minorEastAsia"/>
          <w:szCs w:val="21"/>
        </w:rPr>
        <w:t>不得超过最高投标</w:t>
      </w:r>
      <w:r>
        <w:rPr>
          <w:rFonts w:hint="eastAsia" w:asciiTheme="minorEastAsia" w:hAnsiTheme="minorEastAsia" w:eastAsiaTheme="minorEastAsia" w:cstheme="minorEastAsia"/>
          <w:szCs w:val="21"/>
          <w:lang w:eastAsia="zh-CN"/>
        </w:rPr>
        <w:t>总价</w:t>
      </w:r>
      <w:r>
        <w:rPr>
          <w:rFonts w:hint="eastAsia" w:asciiTheme="minorEastAsia" w:hAnsiTheme="minorEastAsia" w:eastAsiaTheme="minorEastAsia" w:cstheme="minorEastAsia"/>
          <w:szCs w:val="21"/>
        </w:rPr>
        <w:t>，否则报价评审不通过。</w:t>
      </w:r>
    </w:p>
    <w:p>
      <w:pPr>
        <w:widowControl/>
        <w:spacing w:line="360" w:lineRule="auto"/>
        <w:ind w:firstLine="405"/>
        <w:jc w:val="left"/>
        <w:rPr>
          <w:rFonts w:ascii="宋体" w:hAnsi="宋体"/>
          <w:szCs w:val="21"/>
        </w:rPr>
      </w:pPr>
      <w:r>
        <w:rPr>
          <w:rFonts w:hint="eastAsia" w:ascii="宋体" w:hAnsi="宋体"/>
          <w:szCs w:val="21"/>
        </w:rPr>
        <w:t>评标委员会认为投标人的报价</w:t>
      </w:r>
      <w:r>
        <w:rPr>
          <w:rFonts w:hint="eastAsia" w:ascii="宋体" w:hAnsi="宋体"/>
          <w:szCs w:val="21"/>
          <w:lang w:eastAsia="zh-CN"/>
        </w:rPr>
        <w:t>总价</w:t>
      </w:r>
      <w:r>
        <w:rPr>
          <w:rFonts w:hint="eastAsia" w:ascii="宋体" w:hAnsi="宋体"/>
          <w:szCs w:val="21"/>
        </w:rPr>
        <w:t>明显低于其他通过符合性审查投标人的报价</w:t>
      </w:r>
      <w:r>
        <w:rPr>
          <w:rFonts w:hint="eastAsia" w:ascii="宋体" w:hAnsi="宋体"/>
          <w:szCs w:val="21"/>
          <w:lang w:eastAsia="zh-CN"/>
        </w:rPr>
        <w:t>总价</w:t>
      </w:r>
      <w:r>
        <w:rPr>
          <w:rFonts w:hint="eastAsia" w:ascii="宋体" w:hAnsi="宋体"/>
          <w:szCs w:val="21"/>
        </w:rPr>
        <w:t>，有可能影响商品质量或者不能诚信履约的，评标委员会可以通过纸质询标函对投标人进行询标，要求投标人在30分钟内通过纸质询标函进行回复，必要时可提交相关证明材料；投标人不能证明其报价</w:t>
      </w:r>
      <w:r>
        <w:rPr>
          <w:rFonts w:hint="eastAsia" w:ascii="宋体" w:hAnsi="宋体"/>
          <w:szCs w:val="21"/>
          <w:lang w:eastAsia="zh-CN"/>
        </w:rPr>
        <w:t>总价</w:t>
      </w:r>
      <w:r>
        <w:rPr>
          <w:rFonts w:hint="eastAsia" w:ascii="宋体" w:hAnsi="宋体"/>
          <w:szCs w:val="21"/>
        </w:rPr>
        <w:t>合理性的，评标委员会应当将其作为无效投标处理。</w:t>
      </w:r>
    </w:p>
    <w:p>
      <w:pPr>
        <w:widowControl/>
        <w:spacing w:line="360" w:lineRule="auto"/>
        <w:ind w:firstLine="405"/>
        <w:jc w:val="left"/>
        <w:rPr>
          <w:rFonts w:ascii="宋体" w:hAnsi="宋体"/>
          <w:b/>
          <w:bCs/>
          <w:szCs w:val="21"/>
        </w:rPr>
      </w:pPr>
      <w:r>
        <w:rPr>
          <w:rFonts w:hint="eastAsia" w:ascii="宋体" w:hAnsi="宋体"/>
          <w:b/>
          <w:bCs/>
          <w:szCs w:val="21"/>
        </w:rPr>
        <w:t>若服务报价表投标</w:t>
      </w:r>
      <w:r>
        <w:rPr>
          <w:rFonts w:hint="eastAsia" w:ascii="宋体" w:hAnsi="宋体"/>
          <w:b/>
          <w:bCs/>
          <w:szCs w:val="21"/>
          <w:lang w:eastAsia="zh-CN"/>
        </w:rPr>
        <w:t>总价</w:t>
      </w:r>
      <w:r>
        <w:rPr>
          <w:rFonts w:hint="eastAsia" w:ascii="宋体" w:hAnsi="宋体"/>
          <w:b/>
          <w:bCs/>
          <w:szCs w:val="21"/>
        </w:rPr>
        <w:t>与投标函投标</w:t>
      </w:r>
      <w:r>
        <w:rPr>
          <w:rFonts w:hint="eastAsia" w:ascii="宋体" w:hAnsi="宋体"/>
          <w:b/>
          <w:bCs/>
          <w:szCs w:val="21"/>
          <w:lang w:eastAsia="zh-CN"/>
        </w:rPr>
        <w:t>总价</w:t>
      </w:r>
      <w:r>
        <w:rPr>
          <w:rFonts w:hint="eastAsia" w:ascii="宋体" w:hAnsi="宋体"/>
          <w:b/>
          <w:bCs/>
          <w:szCs w:val="21"/>
        </w:rPr>
        <w:t>不一致的，服务报价表中各项投标</w:t>
      </w:r>
      <w:r>
        <w:rPr>
          <w:rFonts w:hint="eastAsia" w:ascii="宋体" w:hAnsi="宋体"/>
          <w:b/>
          <w:bCs/>
          <w:szCs w:val="21"/>
          <w:lang w:eastAsia="zh-CN"/>
        </w:rPr>
        <w:t>总价</w:t>
      </w:r>
      <w:r>
        <w:rPr>
          <w:rFonts w:hint="eastAsia" w:ascii="宋体" w:hAnsi="宋体"/>
          <w:b/>
          <w:bCs/>
          <w:szCs w:val="21"/>
        </w:rPr>
        <w:t>不一致的，投标人所报</w:t>
      </w:r>
      <w:r>
        <w:rPr>
          <w:rFonts w:hint="eastAsia" w:ascii="宋体" w:hAnsi="宋体"/>
          <w:b/>
          <w:bCs/>
          <w:szCs w:val="21"/>
          <w:lang w:val="en-US" w:eastAsia="zh-CN"/>
        </w:rPr>
        <w:t>数量</w:t>
      </w:r>
      <w:r>
        <w:rPr>
          <w:rFonts w:hint="eastAsia" w:ascii="宋体" w:hAnsi="宋体"/>
          <w:b/>
          <w:bCs/>
          <w:szCs w:val="21"/>
        </w:rPr>
        <w:t>×最高限价（单价）后的价格和投标人服务报价表中所填的供货价格不一致的视为无效报价。</w:t>
      </w:r>
    </w:p>
    <w:p>
      <w:pPr>
        <w:spacing w:line="388" w:lineRule="auto"/>
        <w:ind w:left="11" w:right="2" w:firstLine="434"/>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根据《政府采购促进中小企业发展暂行办法》（财库[2011]181号）、《安徽省财政厅 安徽省经济和信息化委员会转发〈财政部工业和信息化部关于印发政府采购促进中小企业发展暂行办法〉的通知》（财购〔2012〕142 号）和《三部门联合发布关于促进残疾人就业政府采购政策的通知》（财库〔2017〕141号）的规定，对满足价格扣除条件且在投标文件中提交了《中小企业声明函》、《残疾人福利性单位声明函》的投标人，其投标报价按照投标人须知前附表中规定的标准扣除后参与评审。对于同时属于小微企业、残疾人福利性单位的，不重复进行投标报价扣除。 </w:t>
      </w:r>
    </w:p>
    <w:p>
      <w:pPr>
        <w:spacing w:line="383" w:lineRule="auto"/>
        <w:ind w:left="11" w:right="2"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联合协议中约定，小型、微型企业的协议合同金额占到联合体协议合同总金额30%以上的，可给予联合体投标报价按照投标人须知前附表中规定的标准扣除后参与评审。 </w:t>
      </w:r>
    </w:p>
    <w:p>
      <w:pPr>
        <w:spacing w:line="383" w:lineRule="auto"/>
        <w:ind w:left="11" w:right="2" w:firstLine="434"/>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联合体各方均为小型、微型企业的，联合体视同为小型、微型企业。 </w:t>
      </w:r>
    </w:p>
    <w:p>
      <w:pPr>
        <w:spacing w:line="360" w:lineRule="auto"/>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2.4、综合评分：</w:t>
      </w:r>
    </w:p>
    <w:p>
      <w:pPr>
        <w:autoSpaceDE w:val="0"/>
        <w:jc w:val="left"/>
        <w:rPr>
          <w:rFonts w:hint="eastAsia" w:asciiTheme="minorEastAsia" w:hAnsiTheme="minorEastAsia" w:eastAsiaTheme="minorEastAsia" w:cstheme="minorEastAsia"/>
          <w:snapToGrid w:val="0"/>
          <w:color w:val="000000"/>
          <w:kern w:val="0"/>
          <w:szCs w:val="21"/>
        </w:rPr>
      </w:pPr>
      <w:r>
        <w:rPr>
          <w:rFonts w:hint="eastAsia" w:asciiTheme="minorEastAsia" w:hAnsiTheme="minorEastAsia" w:eastAsiaTheme="minorEastAsia" w:cstheme="minorEastAsia"/>
          <w:bCs/>
          <w:color w:val="000000"/>
          <w:szCs w:val="21"/>
        </w:rPr>
        <w:t>各评委成员按下列评分项目进行评判，</w:t>
      </w:r>
      <w:r>
        <w:rPr>
          <w:rFonts w:hint="eastAsia" w:asciiTheme="minorEastAsia" w:hAnsiTheme="minorEastAsia" w:eastAsiaTheme="minorEastAsia" w:cstheme="minorEastAsia"/>
          <w:snapToGrid w:val="0"/>
          <w:color w:val="000000"/>
          <w:kern w:val="0"/>
          <w:szCs w:val="21"/>
        </w:rPr>
        <w:t>评标委员会各成员应当独立对每个有效投标人的投标情况进行评价、打分，然后汇总每个投标人每项评分因素的得分。各投标人的最终得分为所有评委评分的平均值（平均值计算精确</w:t>
      </w:r>
    </w:p>
    <w:p>
      <w:pPr>
        <w:autoSpaceDE w:val="0"/>
        <w:jc w:val="left"/>
        <w:rPr>
          <w:rFonts w:hint="eastAsia" w:ascii="仿宋_GB2312" w:hAnsi="宋体" w:eastAsia="仿宋_GB2312" w:cs="宋体"/>
          <w:color w:val="000000"/>
          <w:sz w:val="28"/>
          <w:szCs w:val="28"/>
          <w:lang w:val="en-US" w:eastAsia="zh-CN"/>
        </w:rPr>
      </w:pPr>
      <w:r>
        <w:rPr>
          <w:rFonts w:hint="eastAsia" w:ascii="仿宋_GB2312" w:hAnsi="宋体" w:eastAsia="仿宋_GB2312" w:cs="宋体"/>
          <w:color w:val="000000"/>
          <w:sz w:val="28"/>
          <w:szCs w:val="28"/>
          <w:lang w:eastAsia="zh-CN"/>
        </w:rPr>
        <w:t>评分办法</w:t>
      </w:r>
      <w:r>
        <w:rPr>
          <w:rFonts w:hint="eastAsia" w:ascii="仿宋_GB2312" w:hAnsi="宋体" w:eastAsia="仿宋_GB2312" w:cs="宋体"/>
          <w:color w:val="000000"/>
          <w:sz w:val="28"/>
          <w:szCs w:val="28"/>
          <w:lang w:val="en-US" w:eastAsia="zh-CN"/>
        </w:rPr>
        <w:t>:</w:t>
      </w:r>
    </w:p>
    <w:p>
      <w:pPr>
        <w:adjustRightInd w:val="0"/>
        <w:snapToGrid w:val="0"/>
        <w:spacing w:beforeLines="20" w:afterLines="20" w:line="360" w:lineRule="auto"/>
        <w:rPr>
          <w:kern w:val="0"/>
          <w:sz w:val="24"/>
          <w:szCs w:val="22"/>
        </w:rPr>
      </w:pPr>
    </w:p>
    <w:tbl>
      <w:tblPr>
        <w:tblStyle w:val="28"/>
        <w:tblW w:w="4996" w:type="pct"/>
        <w:tblInd w:w="0" w:type="dxa"/>
        <w:tblLayout w:type="autofit"/>
        <w:tblCellMar>
          <w:top w:w="0" w:type="dxa"/>
          <w:left w:w="108" w:type="dxa"/>
          <w:bottom w:w="0" w:type="dxa"/>
          <w:right w:w="108" w:type="dxa"/>
        </w:tblCellMar>
      </w:tblPr>
      <w:tblGrid>
        <w:gridCol w:w="683"/>
        <w:gridCol w:w="537"/>
        <w:gridCol w:w="668"/>
        <w:gridCol w:w="711"/>
        <w:gridCol w:w="3457"/>
        <w:gridCol w:w="3598"/>
      </w:tblGrid>
      <w:tr>
        <w:tblPrEx>
          <w:tblCellMar>
            <w:top w:w="0" w:type="dxa"/>
            <w:left w:w="108" w:type="dxa"/>
            <w:bottom w:w="0" w:type="dxa"/>
            <w:right w:w="108" w:type="dxa"/>
          </w:tblCellMar>
        </w:tblPrEx>
        <w:trPr>
          <w:trHeight w:val="360" w:hRule="atLeast"/>
        </w:trPr>
        <w:tc>
          <w:tcPr>
            <w:tcW w:w="354" w:type="pct"/>
            <w:tcBorders>
              <w:top w:val="single" w:color="auto" w:sz="6" w:space="0"/>
              <w:left w:val="single" w:color="auto" w:sz="6" w:space="0"/>
              <w:bottom w:val="single" w:color="auto" w:sz="6" w:space="0"/>
              <w:right w:val="single" w:color="auto" w:sz="6" w:space="0"/>
            </w:tcBorders>
            <w:vAlign w:val="center"/>
          </w:tcPr>
          <w:p>
            <w:pPr>
              <w:jc w:val="center"/>
              <w:rPr>
                <w:kern w:val="0"/>
                <w:sz w:val="24"/>
                <w:szCs w:val="22"/>
              </w:rPr>
            </w:pPr>
            <w:r>
              <w:rPr>
                <w:rFonts w:hint="eastAsia"/>
                <w:kern w:val="0"/>
                <w:sz w:val="24"/>
                <w:szCs w:val="22"/>
              </w:rPr>
              <w:t>评审项目</w:t>
            </w:r>
          </w:p>
        </w:tc>
        <w:tc>
          <w:tcPr>
            <w:tcW w:w="278" w:type="pct"/>
            <w:tcBorders>
              <w:top w:val="single" w:color="auto" w:sz="6" w:space="0"/>
              <w:left w:val="single" w:color="auto" w:sz="6" w:space="0"/>
              <w:bottom w:val="single" w:color="auto" w:sz="6" w:space="0"/>
              <w:right w:val="single" w:color="auto" w:sz="6" w:space="0"/>
            </w:tcBorders>
            <w:vAlign w:val="center"/>
          </w:tcPr>
          <w:p>
            <w:pPr>
              <w:jc w:val="center"/>
              <w:rPr>
                <w:kern w:val="0"/>
                <w:sz w:val="24"/>
                <w:szCs w:val="22"/>
              </w:rPr>
            </w:pPr>
            <w:r>
              <w:rPr>
                <w:rFonts w:hint="eastAsia"/>
                <w:kern w:val="0"/>
                <w:sz w:val="24"/>
                <w:szCs w:val="22"/>
              </w:rPr>
              <w:t>分值</w:t>
            </w:r>
          </w:p>
        </w:tc>
        <w:tc>
          <w:tcPr>
            <w:tcW w:w="346" w:type="pct"/>
            <w:tcBorders>
              <w:top w:val="single" w:color="auto" w:sz="6" w:space="0"/>
              <w:left w:val="single" w:color="auto" w:sz="6" w:space="0"/>
              <w:bottom w:val="single" w:color="auto" w:sz="6" w:space="0"/>
              <w:right w:val="single" w:color="auto" w:sz="6" w:space="0"/>
            </w:tcBorders>
            <w:vAlign w:val="center"/>
          </w:tcPr>
          <w:p>
            <w:pPr>
              <w:jc w:val="center"/>
              <w:rPr>
                <w:kern w:val="0"/>
                <w:sz w:val="24"/>
                <w:szCs w:val="22"/>
              </w:rPr>
            </w:pPr>
            <w:r>
              <w:rPr>
                <w:rFonts w:hint="eastAsia"/>
                <w:kern w:val="0"/>
                <w:sz w:val="24"/>
                <w:szCs w:val="22"/>
              </w:rPr>
              <w:t>评审要素</w:t>
            </w:r>
          </w:p>
        </w:tc>
        <w:tc>
          <w:tcPr>
            <w:tcW w:w="368" w:type="pct"/>
            <w:tcBorders>
              <w:top w:val="single" w:color="auto" w:sz="6" w:space="0"/>
              <w:left w:val="single" w:color="auto" w:sz="6" w:space="0"/>
              <w:bottom w:val="single" w:color="auto" w:sz="6" w:space="0"/>
              <w:right w:val="single" w:color="auto" w:sz="6" w:space="0"/>
            </w:tcBorders>
          </w:tcPr>
          <w:p>
            <w:pPr>
              <w:jc w:val="center"/>
              <w:rPr>
                <w:kern w:val="0"/>
                <w:sz w:val="24"/>
                <w:szCs w:val="22"/>
              </w:rPr>
            </w:pPr>
            <w:r>
              <w:rPr>
                <w:rFonts w:hint="eastAsia"/>
                <w:kern w:val="0"/>
                <w:sz w:val="24"/>
                <w:szCs w:val="22"/>
              </w:rPr>
              <w:t>要素分值</w:t>
            </w:r>
          </w:p>
        </w:tc>
        <w:tc>
          <w:tcPr>
            <w:tcW w:w="1790" w:type="pct"/>
            <w:tcBorders>
              <w:top w:val="single" w:color="auto" w:sz="6" w:space="0"/>
              <w:left w:val="single" w:color="auto" w:sz="6" w:space="0"/>
              <w:bottom w:val="single" w:color="auto" w:sz="6" w:space="0"/>
              <w:right w:val="single" w:color="auto" w:sz="6" w:space="0"/>
            </w:tcBorders>
            <w:vAlign w:val="center"/>
          </w:tcPr>
          <w:p>
            <w:pPr>
              <w:jc w:val="center"/>
              <w:rPr>
                <w:kern w:val="0"/>
                <w:sz w:val="24"/>
                <w:szCs w:val="22"/>
              </w:rPr>
            </w:pPr>
            <w:r>
              <w:rPr>
                <w:rFonts w:hint="eastAsia"/>
                <w:kern w:val="0"/>
                <w:sz w:val="24"/>
                <w:szCs w:val="22"/>
              </w:rPr>
              <w:t>评分标准与说明</w:t>
            </w:r>
          </w:p>
        </w:tc>
        <w:tc>
          <w:tcPr>
            <w:tcW w:w="1861" w:type="pct"/>
            <w:tcBorders>
              <w:top w:val="single" w:color="auto" w:sz="6" w:space="0"/>
              <w:left w:val="single" w:color="auto" w:sz="6" w:space="0"/>
              <w:bottom w:val="single" w:color="auto" w:sz="6" w:space="0"/>
              <w:right w:val="single" w:color="auto" w:sz="6" w:space="0"/>
            </w:tcBorders>
            <w:vAlign w:val="center"/>
          </w:tcPr>
          <w:p>
            <w:pPr>
              <w:jc w:val="center"/>
              <w:rPr>
                <w:kern w:val="0"/>
                <w:sz w:val="24"/>
                <w:szCs w:val="22"/>
              </w:rPr>
            </w:pPr>
            <w:r>
              <w:rPr>
                <w:rFonts w:hint="eastAsia"/>
                <w:kern w:val="0"/>
                <w:sz w:val="24"/>
                <w:szCs w:val="22"/>
              </w:rPr>
              <w:t>须提供材料</w:t>
            </w:r>
          </w:p>
        </w:tc>
      </w:tr>
      <w:tr>
        <w:tblPrEx>
          <w:tblCellMar>
            <w:top w:w="0" w:type="dxa"/>
            <w:left w:w="108" w:type="dxa"/>
            <w:bottom w:w="0" w:type="dxa"/>
            <w:right w:w="108" w:type="dxa"/>
          </w:tblCellMar>
        </w:tblPrEx>
        <w:trPr>
          <w:trHeight w:val="360" w:hRule="atLeast"/>
        </w:trPr>
        <w:tc>
          <w:tcPr>
            <w:tcW w:w="354" w:type="pct"/>
            <w:vMerge w:val="restart"/>
            <w:tcBorders>
              <w:top w:val="single" w:color="auto" w:sz="6" w:space="0"/>
              <w:left w:val="single" w:color="auto" w:sz="6" w:space="0"/>
              <w:right w:val="single" w:color="auto" w:sz="6" w:space="0"/>
            </w:tcBorders>
            <w:vAlign w:val="center"/>
          </w:tcPr>
          <w:p>
            <w:pPr>
              <w:jc w:val="center"/>
              <w:rPr>
                <w:rFonts w:ascii="宋体"/>
                <w:szCs w:val="21"/>
              </w:rPr>
            </w:pPr>
            <w:r>
              <w:rPr>
                <w:rFonts w:hint="eastAsia" w:ascii="宋体"/>
                <w:szCs w:val="21"/>
              </w:rPr>
              <w:t>供应商综合实力</w:t>
            </w:r>
          </w:p>
        </w:tc>
        <w:tc>
          <w:tcPr>
            <w:tcW w:w="278" w:type="pct"/>
            <w:vMerge w:val="restart"/>
            <w:tcBorders>
              <w:top w:val="single" w:color="auto" w:sz="6" w:space="0"/>
              <w:left w:val="single" w:color="auto" w:sz="6" w:space="0"/>
              <w:right w:val="single" w:color="auto" w:sz="6" w:space="0"/>
            </w:tcBorders>
            <w:vAlign w:val="center"/>
          </w:tcPr>
          <w:p>
            <w:pPr>
              <w:rPr>
                <w:rFonts w:ascii="宋体"/>
                <w:color w:val="000000"/>
                <w:szCs w:val="21"/>
              </w:rPr>
            </w:pPr>
            <w:r>
              <w:rPr>
                <w:rFonts w:hint="eastAsia" w:ascii="宋体"/>
                <w:color w:val="000000"/>
                <w:szCs w:val="21"/>
              </w:rPr>
              <w:t>55分</w:t>
            </w:r>
          </w:p>
        </w:tc>
        <w:tc>
          <w:tcPr>
            <w:tcW w:w="346" w:type="pct"/>
            <w:tcBorders>
              <w:top w:val="single" w:color="auto" w:sz="6" w:space="0"/>
              <w:left w:val="single" w:color="auto" w:sz="6" w:space="0"/>
              <w:bottom w:val="single" w:color="auto" w:sz="6" w:space="0"/>
              <w:right w:val="single" w:color="auto" w:sz="6" w:space="0"/>
            </w:tcBorders>
            <w:vAlign w:val="center"/>
          </w:tcPr>
          <w:p>
            <w:pPr>
              <w:rPr>
                <w:rFonts w:hint="eastAsia" w:ascii="宋体"/>
                <w:color w:val="000000"/>
                <w:szCs w:val="21"/>
              </w:rPr>
            </w:pPr>
          </w:p>
          <w:p>
            <w:pPr>
              <w:rPr>
                <w:rFonts w:ascii="宋体"/>
                <w:color w:val="000000"/>
                <w:szCs w:val="21"/>
              </w:rPr>
            </w:pPr>
            <w:r>
              <w:rPr>
                <w:rFonts w:hint="eastAsia" w:ascii="宋体"/>
                <w:color w:val="000000"/>
                <w:szCs w:val="21"/>
              </w:rPr>
              <w:t>产品技术响应程度</w:t>
            </w:r>
          </w:p>
          <w:p>
            <w:pPr>
              <w:rPr>
                <w:rFonts w:ascii="宋体"/>
                <w:color w:val="000000"/>
                <w:szCs w:val="21"/>
              </w:rPr>
            </w:pPr>
          </w:p>
        </w:tc>
        <w:tc>
          <w:tcPr>
            <w:tcW w:w="368" w:type="pct"/>
            <w:tcBorders>
              <w:top w:val="single" w:color="auto" w:sz="6" w:space="0"/>
              <w:left w:val="single" w:color="auto" w:sz="6" w:space="0"/>
              <w:bottom w:val="single" w:color="auto" w:sz="6" w:space="0"/>
              <w:right w:val="single" w:color="auto" w:sz="6" w:space="0"/>
            </w:tcBorders>
            <w:vAlign w:val="center"/>
          </w:tcPr>
          <w:p>
            <w:pPr>
              <w:rPr>
                <w:rFonts w:ascii="宋体"/>
                <w:color w:val="000000"/>
                <w:szCs w:val="21"/>
              </w:rPr>
            </w:pPr>
            <w:r>
              <w:rPr>
                <w:rFonts w:hint="eastAsia" w:ascii="宋体"/>
                <w:color w:val="000000"/>
                <w:szCs w:val="21"/>
              </w:rPr>
              <w:t>45分</w:t>
            </w:r>
          </w:p>
        </w:tc>
        <w:tc>
          <w:tcPr>
            <w:tcW w:w="1790" w:type="pct"/>
            <w:tcBorders>
              <w:top w:val="single" w:color="auto" w:sz="6" w:space="0"/>
              <w:left w:val="single" w:color="auto" w:sz="6" w:space="0"/>
              <w:bottom w:val="single" w:color="auto" w:sz="6" w:space="0"/>
              <w:right w:val="single" w:color="auto" w:sz="6" w:space="0"/>
            </w:tcBorders>
            <w:vAlign w:val="center"/>
          </w:tcPr>
          <w:p>
            <w:pPr>
              <w:rPr>
                <w:rFonts w:ascii="宋体"/>
                <w:color w:val="000000"/>
                <w:szCs w:val="21"/>
              </w:rPr>
            </w:pPr>
            <w:r>
              <w:rPr>
                <w:rFonts w:ascii="宋体"/>
                <w:color w:val="000000"/>
                <w:szCs w:val="21"/>
              </w:rPr>
              <w:t>由评委</w:t>
            </w:r>
            <w:r>
              <w:rPr>
                <w:rFonts w:hint="eastAsia" w:ascii="宋体"/>
                <w:color w:val="000000"/>
                <w:szCs w:val="21"/>
              </w:rPr>
              <w:t>根据投标产品响应及偏离程度</w:t>
            </w:r>
            <w:r>
              <w:rPr>
                <w:rFonts w:ascii="宋体"/>
                <w:color w:val="000000"/>
                <w:szCs w:val="21"/>
              </w:rPr>
              <w:t>进行分析比较、评议、打分</w:t>
            </w:r>
            <w:r>
              <w:rPr>
                <w:rFonts w:hint="eastAsia" w:ascii="宋体"/>
                <w:color w:val="000000"/>
                <w:szCs w:val="21"/>
              </w:rPr>
              <w:t>。参数完全满足得45分，★号参数负偏离扣4分非★号参数扣2分。</w:t>
            </w:r>
          </w:p>
        </w:tc>
        <w:tc>
          <w:tcPr>
            <w:tcW w:w="1861" w:type="pct"/>
            <w:tcBorders>
              <w:top w:val="single" w:color="auto" w:sz="6" w:space="0"/>
              <w:left w:val="single" w:color="auto" w:sz="6" w:space="0"/>
              <w:bottom w:val="single" w:color="auto" w:sz="6" w:space="0"/>
              <w:right w:val="single" w:color="auto" w:sz="6" w:space="0"/>
            </w:tcBorders>
            <w:vAlign w:val="center"/>
          </w:tcPr>
          <w:p>
            <w:pPr>
              <w:jc w:val="left"/>
              <w:rPr>
                <w:rFonts w:ascii="宋体"/>
                <w:b/>
                <w:szCs w:val="21"/>
              </w:rPr>
            </w:pPr>
            <w:r>
              <w:rPr>
                <w:rFonts w:hint="eastAsia" w:ascii="宋体"/>
                <w:color w:val="000000"/>
                <w:szCs w:val="21"/>
              </w:rPr>
              <w:t>投标文件须同提供证明响应参数的资料，有效证明文件：注册证、检验报告、注册标准、提供扫描件或影印件。</w:t>
            </w:r>
          </w:p>
        </w:tc>
      </w:tr>
      <w:tr>
        <w:tblPrEx>
          <w:tblCellMar>
            <w:top w:w="0" w:type="dxa"/>
            <w:left w:w="108" w:type="dxa"/>
            <w:bottom w:w="0" w:type="dxa"/>
            <w:right w:w="108" w:type="dxa"/>
          </w:tblCellMar>
        </w:tblPrEx>
        <w:trPr>
          <w:trHeight w:val="1186" w:hRule="atLeast"/>
        </w:trPr>
        <w:tc>
          <w:tcPr>
            <w:tcW w:w="354" w:type="pct"/>
            <w:vMerge w:val="continue"/>
            <w:tcBorders>
              <w:left w:val="single" w:color="auto" w:sz="6" w:space="0"/>
              <w:right w:val="single" w:color="auto" w:sz="6" w:space="0"/>
            </w:tcBorders>
            <w:vAlign w:val="center"/>
          </w:tcPr>
          <w:p>
            <w:pPr>
              <w:jc w:val="center"/>
              <w:rPr>
                <w:rFonts w:ascii="宋体"/>
                <w:szCs w:val="21"/>
              </w:rPr>
            </w:pPr>
          </w:p>
        </w:tc>
        <w:tc>
          <w:tcPr>
            <w:tcW w:w="278" w:type="pct"/>
            <w:vMerge w:val="continue"/>
            <w:tcBorders>
              <w:left w:val="single" w:color="auto" w:sz="6" w:space="0"/>
              <w:right w:val="single" w:color="auto" w:sz="6" w:space="0"/>
            </w:tcBorders>
            <w:vAlign w:val="center"/>
          </w:tcPr>
          <w:p>
            <w:pPr>
              <w:jc w:val="center"/>
              <w:rPr>
                <w:rFonts w:ascii="宋体"/>
                <w:szCs w:val="21"/>
              </w:rPr>
            </w:pPr>
          </w:p>
        </w:tc>
        <w:tc>
          <w:tcPr>
            <w:tcW w:w="346" w:type="pct"/>
            <w:tcBorders>
              <w:top w:val="single" w:color="auto" w:sz="4" w:space="0"/>
              <w:left w:val="single" w:color="auto" w:sz="6" w:space="0"/>
              <w:right w:val="single" w:color="auto" w:sz="6" w:space="0"/>
            </w:tcBorders>
            <w:vAlign w:val="center"/>
          </w:tcPr>
          <w:p>
            <w:r>
              <w:rPr>
                <w:rFonts w:hint="eastAsia"/>
              </w:rPr>
              <w:t>配送业绩</w:t>
            </w:r>
          </w:p>
        </w:tc>
        <w:tc>
          <w:tcPr>
            <w:tcW w:w="368" w:type="pct"/>
            <w:tcBorders>
              <w:top w:val="single" w:color="auto" w:sz="4" w:space="0"/>
              <w:left w:val="single" w:color="auto" w:sz="6" w:space="0"/>
              <w:right w:val="single" w:color="auto" w:sz="6" w:space="0"/>
            </w:tcBorders>
            <w:vAlign w:val="center"/>
          </w:tcPr>
          <w:p>
            <w:pPr>
              <w:jc w:val="center"/>
              <w:rPr>
                <w:rFonts w:ascii="宋体"/>
                <w:szCs w:val="21"/>
              </w:rPr>
            </w:pPr>
            <w:r>
              <w:rPr>
                <w:rFonts w:hint="eastAsia" w:ascii="宋体"/>
                <w:szCs w:val="21"/>
              </w:rPr>
              <w:t>5分</w:t>
            </w:r>
          </w:p>
        </w:tc>
        <w:tc>
          <w:tcPr>
            <w:tcW w:w="1790" w:type="pct"/>
            <w:tcBorders>
              <w:top w:val="single" w:color="auto" w:sz="4" w:space="0"/>
              <w:left w:val="single" w:color="auto" w:sz="6" w:space="0"/>
              <w:right w:val="single" w:color="auto" w:sz="6" w:space="0"/>
            </w:tcBorders>
            <w:vAlign w:val="center"/>
          </w:tcPr>
          <w:p>
            <w:pPr>
              <w:rPr>
                <w:rFonts w:ascii="宋体"/>
                <w:color w:val="000000"/>
                <w:szCs w:val="21"/>
              </w:rPr>
            </w:pPr>
            <w:r>
              <w:rPr>
                <w:rFonts w:hint="eastAsia" w:ascii="宋体"/>
                <w:color w:val="000000"/>
                <w:szCs w:val="21"/>
              </w:rPr>
              <w:t>每提供1家三级及以上医院血透类耗材配送业绩得3分，每提供1家二级医院血透类耗材配送业绩得2分，满分5分。</w:t>
            </w:r>
          </w:p>
        </w:tc>
        <w:tc>
          <w:tcPr>
            <w:tcW w:w="1861" w:type="pct"/>
            <w:tcBorders>
              <w:top w:val="single" w:color="auto" w:sz="6" w:space="0"/>
              <w:left w:val="single" w:color="auto" w:sz="6" w:space="0"/>
              <w:right w:val="single" w:color="auto" w:sz="6" w:space="0"/>
            </w:tcBorders>
            <w:vAlign w:val="center"/>
          </w:tcPr>
          <w:p>
            <w:pPr>
              <w:rPr>
                <w:rFonts w:ascii="宋体"/>
                <w:szCs w:val="21"/>
              </w:rPr>
            </w:pPr>
            <w:r>
              <w:rPr>
                <w:rFonts w:hint="eastAsia" w:ascii="宋体"/>
                <w:color w:val="000000"/>
                <w:szCs w:val="21"/>
              </w:rPr>
              <w:t>投标人须提供本企业业绩合同复印件和发票复印件（类），不提供不得分。</w:t>
            </w:r>
          </w:p>
        </w:tc>
      </w:tr>
      <w:tr>
        <w:tblPrEx>
          <w:tblCellMar>
            <w:top w:w="0" w:type="dxa"/>
            <w:left w:w="108" w:type="dxa"/>
            <w:bottom w:w="0" w:type="dxa"/>
            <w:right w:w="108" w:type="dxa"/>
          </w:tblCellMar>
        </w:tblPrEx>
        <w:trPr>
          <w:trHeight w:val="780" w:hRule="atLeast"/>
        </w:trPr>
        <w:tc>
          <w:tcPr>
            <w:tcW w:w="354" w:type="pct"/>
            <w:vMerge w:val="continue"/>
            <w:tcBorders>
              <w:left w:val="single" w:color="auto" w:sz="6" w:space="0"/>
              <w:right w:val="single" w:color="auto" w:sz="6" w:space="0"/>
            </w:tcBorders>
            <w:vAlign w:val="center"/>
          </w:tcPr>
          <w:p>
            <w:pPr>
              <w:jc w:val="center"/>
              <w:rPr>
                <w:rFonts w:ascii="宋体"/>
                <w:szCs w:val="21"/>
              </w:rPr>
            </w:pPr>
          </w:p>
        </w:tc>
        <w:tc>
          <w:tcPr>
            <w:tcW w:w="278" w:type="pct"/>
            <w:vMerge w:val="continue"/>
            <w:tcBorders>
              <w:left w:val="single" w:color="auto" w:sz="6" w:space="0"/>
              <w:right w:val="single" w:color="auto" w:sz="6" w:space="0"/>
            </w:tcBorders>
            <w:vAlign w:val="center"/>
          </w:tcPr>
          <w:p>
            <w:pPr>
              <w:jc w:val="center"/>
              <w:rPr>
                <w:rFonts w:ascii="宋体"/>
                <w:szCs w:val="21"/>
              </w:rPr>
            </w:pPr>
          </w:p>
        </w:tc>
        <w:tc>
          <w:tcPr>
            <w:tcW w:w="346" w:type="pct"/>
            <w:tcBorders>
              <w:top w:val="single" w:color="auto" w:sz="6" w:space="0"/>
              <w:left w:val="single" w:color="auto" w:sz="6" w:space="0"/>
              <w:bottom w:val="single" w:color="auto" w:sz="6" w:space="0"/>
              <w:right w:val="single" w:color="auto" w:sz="6" w:space="0"/>
            </w:tcBorders>
            <w:vAlign w:val="center"/>
          </w:tcPr>
          <w:p>
            <w:r>
              <w:rPr>
                <w:rFonts w:hint="eastAsia"/>
              </w:rPr>
              <w:t>专业技术人员</w:t>
            </w:r>
          </w:p>
        </w:tc>
        <w:tc>
          <w:tcPr>
            <w:tcW w:w="368" w:type="pct"/>
            <w:tcBorders>
              <w:top w:val="single" w:color="auto" w:sz="6" w:space="0"/>
              <w:left w:val="single" w:color="auto" w:sz="6" w:space="0"/>
              <w:bottom w:val="single" w:color="auto" w:sz="6" w:space="0"/>
              <w:right w:val="single" w:color="auto" w:sz="6" w:space="0"/>
            </w:tcBorders>
            <w:vAlign w:val="center"/>
          </w:tcPr>
          <w:p>
            <w:pPr>
              <w:rPr>
                <w:rFonts w:ascii="宋体"/>
                <w:szCs w:val="21"/>
              </w:rPr>
            </w:pPr>
            <w:r>
              <w:rPr>
                <w:rFonts w:hint="eastAsia" w:ascii="宋体"/>
                <w:szCs w:val="21"/>
              </w:rPr>
              <w:t>5分</w:t>
            </w:r>
          </w:p>
        </w:tc>
        <w:tc>
          <w:tcPr>
            <w:tcW w:w="1790" w:type="pct"/>
            <w:tcBorders>
              <w:top w:val="single" w:color="auto" w:sz="6" w:space="0"/>
              <w:left w:val="single" w:color="auto" w:sz="6" w:space="0"/>
              <w:bottom w:val="single" w:color="auto" w:sz="6" w:space="0"/>
              <w:right w:val="single" w:color="auto" w:sz="6" w:space="0"/>
            </w:tcBorders>
            <w:vAlign w:val="center"/>
          </w:tcPr>
          <w:p>
            <w:pPr>
              <w:rPr>
                <w:rFonts w:ascii="宋体"/>
                <w:szCs w:val="21"/>
              </w:rPr>
            </w:pPr>
            <w:r>
              <w:rPr>
                <w:rFonts w:hint="eastAsia" w:ascii="宋体"/>
                <w:szCs w:val="21"/>
              </w:rPr>
              <w:t>每提供1名得1分，满分5分。（专业技术人员指具有医学、药学、检验、器械等相关工作至少两年工作经历）。</w:t>
            </w:r>
          </w:p>
        </w:tc>
        <w:tc>
          <w:tcPr>
            <w:tcW w:w="1861" w:type="pct"/>
            <w:tcBorders>
              <w:top w:val="single" w:color="auto" w:sz="6" w:space="0"/>
              <w:left w:val="single" w:color="auto" w:sz="6" w:space="0"/>
              <w:bottom w:val="single" w:color="auto" w:sz="6" w:space="0"/>
              <w:right w:val="single" w:color="auto" w:sz="6" w:space="0"/>
            </w:tcBorders>
            <w:vAlign w:val="center"/>
          </w:tcPr>
          <w:p>
            <w:pPr>
              <w:rPr>
                <w:rFonts w:ascii="宋体"/>
                <w:szCs w:val="21"/>
              </w:rPr>
            </w:pPr>
            <w:r>
              <w:rPr>
                <w:rFonts w:hint="eastAsia" w:ascii="宋体"/>
                <w:szCs w:val="21"/>
              </w:rPr>
              <w:t>投标人须提供拟配备专业技术人员的毕业证书或资格证件复印件和近 2年（自2020年1月1日至今）在本公司的社保证明，不提供不得分</w:t>
            </w:r>
          </w:p>
        </w:tc>
      </w:tr>
      <w:tr>
        <w:tblPrEx>
          <w:tblCellMar>
            <w:top w:w="0" w:type="dxa"/>
            <w:left w:w="108" w:type="dxa"/>
            <w:bottom w:w="0" w:type="dxa"/>
            <w:right w:w="108" w:type="dxa"/>
          </w:tblCellMar>
        </w:tblPrEx>
        <w:trPr>
          <w:trHeight w:val="269" w:hRule="atLeast"/>
        </w:trPr>
        <w:tc>
          <w:tcPr>
            <w:tcW w:w="354" w:type="pct"/>
            <w:tcBorders>
              <w:top w:val="single" w:color="auto" w:sz="6" w:space="0"/>
              <w:left w:val="single" w:color="auto" w:sz="6" w:space="0"/>
              <w:bottom w:val="single" w:color="auto" w:sz="6" w:space="0"/>
              <w:right w:val="single" w:color="auto" w:sz="6" w:space="0"/>
            </w:tcBorders>
            <w:vAlign w:val="center"/>
          </w:tcPr>
          <w:p>
            <w:pPr>
              <w:rPr>
                <w:rFonts w:ascii="宋体"/>
                <w:szCs w:val="21"/>
              </w:rPr>
            </w:pPr>
            <w:r>
              <w:rPr>
                <w:rFonts w:hint="eastAsia" w:ascii="宋体"/>
                <w:szCs w:val="21"/>
              </w:rPr>
              <w:t>服务能力</w:t>
            </w:r>
          </w:p>
        </w:tc>
        <w:tc>
          <w:tcPr>
            <w:tcW w:w="278" w:type="pct"/>
            <w:tcBorders>
              <w:top w:val="single" w:color="auto" w:sz="6" w:space="0"/>
              <w:left w:val="single" w:color="auto" w:sz="6" w:space="0"/>
              <w:bottom w:val="single" w:color="auto" w:sz="6" w:space="0"/>
              <w:right w:val="single" w:color="auto" w:sz="6" w:space="0"/>
            </w:tcBorders>
            <w:vAlign w:val="center"/>
          </w:tcPr>
          <w:p>
            <w:pPr>
              <w:jc w:val="center"/>
              <w:rPr>
                <w:rFonts w:ascii="宋体"/>
                <w:szCs w:val="21"/>
              </w:rPr>
            </w:pPr>
            <w:r>
              <w:rPr>
                <w:rFonts w:hint="eastAsia" w:ascii="宋体"/>
                <w:szCs w:val="21"/>
              </w:rPr>
              <w:t>10分</w:t>
            </w:r>
          </w:p>
        </w:tc>
        <w:tc>
          <w:tcPr>
            <w:tcW w:w="346" w:type="pct"/>
            <w:tcBorders>
              <w:top w:val="single" w:color="auto" w:sz="6" w:space="0"/>
              <w:left w:val="single" w:color="auto" w:sz="6" w:space="0"/>
              <w:bottom w:val="single" w:color="auto" w:sz="6" w:space="0"/>
              <w:right w:val="single" w:color="auto" w:sz="6" w:space="0"/>
            </w:tcBorders>
            <w:vAlign w:val="center"/>
          </w:tcPr>
          <w:p>
            <w:r>
              <w:rPr>
                <w:rFonts w:hint="eastAsia"/>
              </w:rPr>
              <w:t>配送服务方案</w:t>
            </w:r>
          </w:p>
        </w:tc>
        <w:tc>
          <w:tcPr>
            <w:tcW w:w="368" w:type="pct"/>
            <w:tcBorders>
              <w:top w:val="single" w:color="auto" w:sz="6" w:space="0"/>
              <w:left w:val="single" w:color="auto" w:sz="6" w:space="0"/>
              <w:bottom w:val="single" w:color="auto" w:sz="6" w:space="0"/>
              <w:right w:val="single" w:color="auto" w:sz="6" w:space="0"/>
            </w:tcBorders>
            <w:vAlign w:val="center"/>
          </w:tcPr>
          <w:p>
            <w:pPr>
              <w:rPr>
                <w:rFonts w:ascii="宋体"/>
                <w:szCs w:val="21"/>
              </w:rPr>
            </w:pPr>
            <w:r>
              <w:rPr>
                <w:rFonts w:hint="eastAsia" w:ascii="宋体"/>
                <w:szCs w:val="21"/>
              </w:rPr>
              <w:t>10分</w:t>
            </w:r>
          </w:p>
        </w:tc>
        <w:tc>
          <w:tcPr>
            <w:tcW w:w="1790" w:type="pct"/>
            <w:tcBorders>
              <w:top w:val="single" w:color="auto" w:sz="6" w:space="0"/>
              <w:left w:val="single" w:color="auto" w:sz="6" w:space="0"/>
              <w:bottom w:val="single" w:color="auto" w:sz="6" w:space="0"/>
              <w:right w:val="single" w:color="auto" w:sz="6" w:space="0"/>
            </w:tcBorders>
            <w:vAlign w:val="center"/>
          </w:tcPr>
          <w:p>
            <w:pPr>
              <w:rPr>
                <w:rFonts w:ascii="宋体"/>
                <w:szCs w:val="21"/>
              </w:rPr>
            </w:pPr>
            <w:r>
              <w:rPr>
                <w:rFonts w:hint="eastAsia" w:ascii="宋体"/>
                <w:szCs w:val="21"/>
              </w:rPr>
              <w:t>配送服务方案应根据招标人的地理位置以及实际需求进行编制，方案内容应包括：</w:t>
            </w:r>
          </w:p>
          <w:p>
            <w:pPr>
              <w:rPr>
                <w:rFonts w:ascii="宋体"/>
                <w:szCs w:val="21"/>
              </w:rPr>
            </w:pPr>
            <w:r>
              <w:rPr>
                <w:rFonts w:hint="eastAsia" w:ascii="宋体"/>
                <w:szCs w:val="21"/>
              </w:rPr>
              <w:t>1、针对人员配置、设备配置情况进行横向比较，酌情0-3分；</w:t>
            </w:r>
          </w:p>
          <w:p>
            <w:pPr>
              <w:rPr>
                <w:rFonts w:ascii="宋体"/>
                <w:szCs w:val="21"/>
              </w:rPr>
            </w:pPr>
            <w:r>
              <w:rPr>
                <w:rFonts w:hint="eastAsia" w:ascii="宋体"/>
                <w:szCs w:val="21"/>
              </w:rPr>
              <w:t>2、针对紧急（急救）配送、退换货、随访、学术等方面规划，优得5分，良得3分，一般得2分。</w:t>
            </w:r>
          </w:p>
          <w:p>
            <w:pPr>
              <w:rPr>
                <w:rFonts w:ascii="宋体"/>
                <w:szCs w:val="21"/>
              </w:rPr>
            </w:pPr>
            <w:r>
              <w:rPr>
                <w:rFonts w:hint="eastAsia" w:ascii="宋体"/>
                <w:szCs w:val="21"/>
              </w:rPr>
              <w:t>3、针对耗材质量承诺和保障方案、时效性等方面内容，优得2分，良得1分，一般不得分。</w:t>
            </w:r>
          </w:p>
        </w:tc>
        <w:tc>
          <w:tcPr>
            <w:tcW w:w="1861" w:type="pct"/>
            <w:tcBorders>
              <w:top w:val="single" w:color="auto" w:sz="6" w:space="0"/>
              <w:left w:val="single" w:color="auto" w:sz="6" w:space="0"/>
              <w:bottom w:val="single" w:color="auto" w:sz="6" w:space="0"/>
              <w:right w:val="single" w:color="auto" w:sz="6" w:space="0"/>
            </w:tcBorders>
            <w:vAlign w:val="center"/>
          </w:tcPr>
          <w:p>
            <w:pPr>
              <w:rPr>
                <w:rFonts w:ascii="宋体"/>
                <w:szCs w:val="21"/>
              </w:rPr>
            </w:pPr>
            <w:r>
              <w:rPr>
                <w:rFonts w:hint="eastAsia" w:ascii="宋体"/>
                <w:szCs w:val="21"/>
              </w:rPr>
              <w:t>人员配置、配送服务方案和明确的承诺（格式自拟），不提供不得分。</w:t>
            </w:r>
          </w:p>
        </w:tc>
      </w:tr>
      <w:tr>
        <w:tblPrEx>
          <w:tblCellMar>
            <w:top w:w="0" w:type="dxa"/>
            <w:left w:w="108" w:type="dxa"/>
            <w:bottom w:w="0" w:type="dxa"/>
            <w:right w:w="108" w:type="dxa"/>
          </w:tblCellMar>
        </w:tblPrEx>
        <w:trPr>
          <w:trHeight w:val="269" w:hRule="atLeast"/>
        </w:trPr>
        <w:tc>
          <w:tcPr>
            <w:tcW w:w="354" w:type="pct"/>
            <w:tcBorders>
              <w:top w:val="single" w:color="auto" w:sz="6" w:space="0"/>
              <w:left w:val="single" w:color="auto" w:sz="6" w:space="0"/>
              <w:bottom w:val="single" w:color="auto" w:sz="6" w:space="0"/>
              <w:right w:val="single" w:color="auto" w:sz="6" w:space="0"/>
            </w:tcBorders>
            <w:vAlign w:val="center"/>
          </w:tcPr>
          <w:p>
            <w:pPr>
              <w:rPr>
                <w:rFonts w:ascii="宋体"/>
                <w:szCs w:val="21"/>
              </w:rPr>
            </w:pPr>
            <w:r>
              <w:rPr>
                <w:rFonts w:hint="eastAsia" w:ascii="宋体"/>
                <w:szCs w:val="21"/>
              </w:rPr>
              <w:t>优惠条款</w:t>
            </w:r>
          </w:p>
        </w:tc>
        <w:tc>
          <w:tcPr>
            <w:tcW w:w="278" w:type="pct"/>
            <w:tcBorders>
              <w:top w:val="single" w:color="auto" w:sz="6" w:space="0"/>
              <w:left w:val="single" w:color="auto" w:sz="6" w:space="0"/>
              <w:bottom w:val="single" w:color="auto" w:sz="6" w:space="0"/>
              <w:right w:val="single" w:color="auto" w:sz="6" w:space="0"/>
            </w:tcBorders>
            <w:vAlign w:val="center"/>
          </w:tcPr>
          <w:p>
            <w:pPr>
              <w:jc w:val="center"/>
              <w:rPr>
                <w:rFonts w:ascii="宋体"/>
                <w:szCs w:val="21"/>
              </w:rPr>
            </w:pPr>
            <w:r>
              <w:rPr>
                <w:rFonts w:hint="eastAsia" w:ascii="宋体"/>
                <w:szCs w:val="21"/>
              </w:rPr>
              <w:t>5分</w:t>
            </w:r>
          </w:p>
        </w:tc>
        <w:tc>
          <w:tcPr>
            <w:tcW w:w="346" w:type="pct"/>
            <w:tcBorders>
              <w:top w:val="single" w:color="auto" w:sz="6" w:space="0"/>
              <w:left w:val="single" w:color="auto" w:sz="6" w:space="0"/>
              <w:bottom w:val="single" w:color="auto" w:sz="6" w:space="0"/>
              <w:right w:val="single" w:color="auto" w:sz="6" w:space="0"/>
            </w:tcBorders>
            <w:vAlign w:val="center"/>
          </w:tcPr>
          <w:p>
            <w:r>
              <w:rPr>
                <w:rFonts w:hint="eastAsia"/>
              </w:rPr>
              <w:t>优惠条款</w:t>
            </w:r>
          </w:p>
        </w:tc>
        <w:tc>
          <w:tcPr>
            <w:tcW w:w="368" w:type="pct"/>
            <w:tcBorders>
              <w:top w:val="single" w:color="auto" w:sz="6" w:space="0"/>
              <w:left w:val="single" w:color="auto" w:sz="6" w:space="0"/>
              <w:bottom w:val="single" w:color="auto" w:sz="6" w:space="0"/>
              <w:right w:val="single" w:color="auto" w:sz="6" w:space="0"/>
            </w:tcBorders>
            <w:vAlign w:val="center"/>
          </w:tcPr>
          <w:p>
            <w:pPr>
              <w:rPr>
                <w:rFonts w:ascii="宋体"/>
                <w:szCs w:val="21"/>
              </w:rPr>
            </w:pPr>
            <w:r>
              <w:rPr>
                <w:rFonts w:hint="eastAsia" w:ascii="宋体"/>
                <w:szCs w:val="21"/>
              </w:rPr>
              <w:t>5分</w:t>
            </w:r>
          </w:p>
        </w:tc>
        <w:tc>
          <w:tcPr>
            <w:tcW w:w="1790" w:type="pct"/>
            <w:tcBorders>
              <w:top w:val="single" w:color="auto" w:sz="6" w:space="0"/>
              <w:left w:val="single" w:color="auto" w:sz="6" w:space="0"/>
              <w:bottom w:val="single" w:color="auto" w:sz="6" w:space="0"/>
              <w:right w:val="single" w:color="auto" w:sz="6" w:space="0"/>
            </w:tcBorders>
            <w:vAlign w:val="center"/>
          </w:tcPr>
          <w:p>
            <w:pPr>
              <w:rPr>
                <w:rFonts w:ascii="宋体"/>
                <w:szCs w:val="21"/>
              </w:rPr>
            </w:pPr>
            <w:r>
              <w:rPr>
                <w:rFonts w:hint="eastAsia" w:ascii="宋体"/>
                <w:szCs w:val="21"/>
              </w:rPr>
              <w:t>根据投标人提供的各类优惠条件进行进行横向比较，酌情0-5分；</w:t>
            </w:r>
          </w:p>
        </w:tc>
        <w:tc>
          <w:tcPr>
            <w:tcW w:w="1861" w:type="pct"/>
            <w:tcBorders>
              <w:top w:val="single" w:color="auto" w:sz="6" w:space="0"/>
              <w:left w:val="single" w:color="auto" w:sz="6" w:space="0"/>
              <w:bottom w:val="single" w:color="auto" w:sz="6" w:space="0"/>
              <w:right w:val="single" w:color="auto" w:sz="6" w:space="0"/>
            </w:tcBorders>
            <w:vAlign w:val="center"/>
          </w:tcPr>
          <w:p>
            <w:pPr>
              <w:rPr>
                <w:rFonts w:ascii="宋体"/>
                <w:szCs w:val="21"/>
              </w:rPr>
            </w:pPr>
            <w:r>
              <w:rPr>
                <w:rFonts w:hint="eastAsia" w:ascii="宋体"/>
                <w:szCs w:val="21"/>
              </w:rPr>
              <w:t>提供明确的优惠承诺（格式自拟），不提供不得分。</w:t>
            </w:r>
          </w:p>
        </w:tc>
      </w:tr>
      <w:tr>
        <w:tblPrEx>
          <w:tblCellMar>
            <w:top w:w="0" w:type="dxa"/>
            <w:left w:w="108" w:type="dxa"/>
            <w:bottom w:w="0" w:type="dxa"/>
            <w:right w:w="108" w:type="dxa"/>
          </w:tblCellMar>
        </w:tblPrEx>
        <w:trPr>
          <w:trHeight w:val="269" w:hRule="atLeast"/>
        </w:trPr>
        <w:tc>
          <w:tcPr>
            <w:tcW w:w="354" w:type="pct"/>
            <w:tcBorders>
              <w:top w:val="single" w:color="auto" w:sz="6" w:space="0"/>
              <w:left w:val="single" w:color="auto" w:sz="6" w:space="0"/>
              <w:bottom w:val="single" w:color="auto" w:sz="6" w:space="0"/>
              <w:right w:val="single" w:color="auto" w:sz="6" w:space="0"/>
            </w:tcBorders>
            <w:vAlign w:val="center"/>
          </w:tcPr>
          <w:p>
            <w:pPr>
              <w:rPr>
                <w:rFonts w:hint="eastAsia" w:ascii="宋体"/>
                <w:szCs w:val="21"/>
              </w:rPr>
            </w:pPr>
            <w:r>
              <w:rPr>
                <w:rFonts w:hint="eastAsia"/>
                <w:color w:val="000000"/>
                <w:sz w:val="24"/>
                <w:szCs w:val="24"/>
                <w:lang w:val="en-US" w:bidi="ar"/>
              </w:rPr>
              <w:t>报价</w:t>
            </w:r>
          </w:p>
        </w:tc>
        <w:tc>
          <w:tcPr>
            <w:tcW w:w="278" w:type="pct"/>
            <w:tcBorders>
              <w:top w:val="single" w:color="auto" w:sz="6" w:space="0"/>
              <w:left w:val="single" w:color="auto" w:sz="6" w:space="0"/>
              <w:bottom w:val="single" w:color="auto" w:sz="6" w:space="0"/>
              <w:right w:val="single" w:color="auto" w:sz="6" w:space="0"/>
            </w:tcBorders>
            <w:vAlign w:val="center"/>
          </w:tcPr>
          <w:p>
            <w:pPr>
              <w:jc w:val="center"/>
              <w:rPr>
                <w:rFonts w:hint="eastAsia" w:ascii="宋体"/>
                <w:szCs w:val="21"/>
              </w:rPr>
            </w:pPr>
            <w:r>
              <w:rPr>
                <w:rFonts w:hint="eastAsia"/>
                <w:color w:val="000000"/>
                <w:sz w:val="24"/>
                <w:szCs w:val="24"/>
                <w:lang w:val="en-US" w:bidi="ar"/>
              </w:rPr>
              <w:t>30分</w:t>
            </w:r>
          </w:p>
        </w:tc>
        <w:tc>
          <w:tcPr>
            <w:tcW w:w="4367" w:type="pct"/>
            <w:gridSpan w:val="4"/>
            <w:tcBorders>
              <w:top w:val="single" w:color="auto" w:sz="6" w:space="0"/>
              <w:left w:val="single" w:color="auto" w:sz="6" w:space="0"/>
              <w:bottom w:val="single" w:color="auto" w:sz="6" w:space="0"/>
              <w:right w:val="single" w:color="auto" w:sz="6" w:space="0"/>
            </w:tcBorders>
            <w:vAlign w:val="center"/>
          </w:tcPr>
          <w:p>
            <w:pPr>
              <w:spacing w:line="360" w:lineRule="auto"/>
              <w:rPr>
                <w:rFonts w:ascii="Calibri" w:hAnsi="Calibri" w:cs="宋体"/>
                <w:color w:val="000000"/>
                <w:highlight w:val="none"/>
              </w:rPr>
            </w:pPr>
            <w:r>
              <w:rPr>
                <w:rFonts w:hint="eastAsia" w:ascii="Calibri" w:hAnsi="Calibri" w:cs="宋体"/>
                <w:color w:val="000000"/>
                <w:highlight w:val="none"/>
              </w:rPr>
              <w:t>投标人报价得分＝（评标基准价/投标报价）×</w:t>
            </w:r>
            <w:r>
              <w:rPr>
                <w:rFonts w:hint="eastAsia" w:ascii="Calibri" w:hAnsi="Calibri" w:cs="宋体"/>
                <w:color w:val="000000"/>
                <w:highlight w:val="none"/>
                <w:lang w:val="en-US" w:eastAsia="zh-CN"/>
              </w:rPr>
              <w:t>_</w:t>
            </w:r>
            <w:r>
              <w:rPr>
                <w:rFonts w:hint="eastAsia" w:ascii="Calibri" w:hAnsi="Calibri" w:cs="宋体"/>
                <w:color w:val="000000"/>
                <w:highlight w:val="none"/>
                <w:u w:val="single"/>
                <w:lang w:val="en-US" w:eastAsia="zh-CN"/>
              </w:rPr>
              <w:t>_30_</w:t>
            </w:r>
            <w:r>
              <w:rPr>
                <w:rFonts w:hint="eastAsia" w:ascii="Calibri" w:hAnsi="Calibri" w:cs="宋体"/>
                <w:color w:val="000000"/>
                <w:highlight w:val="none"/>
                <w:lang w:val="en-US" w:eastAsia="zh-CN"/>
              </w:rPr>
              <w:t>_</w:t>
            </w:r>
            <w:r>
              <w:rPr>
                <w:rFonts w:hint="eastAsia" w:ascii="Calibri" w:hAnsi="Calibri" w:cs="宋体"/>
                <w:color w:val="000000"/>
                <w:highlight w:val="none"/>
              </w:rPr>
              <w:t>％×100；</w:t>
            </w:r>
          </w:p>
          <w:p>
            <w:pPr>
              <w:spacing w:line="360" w:lineRule="auto"/>
              <w:rPr>
                <w:rFonts w:ascii="Calibri" w:hAnsi="Calibri" w:cs="宋体"/>
                <w:color w:val="000000"/>
                <w:highlight w:val="none"/>
              </w:rPr>
            </w:pPr>
            <w:r>
              <w:rPr>
                <w:rFonts w:hint="eastAsia" w:ascii="Calibri" w:hAnsi="Calibri" w:cs="宋体"/>
                <w:color w:val="000000"/>
                <w:highlight w:val="none"/>
              </w:rPr>
              <w:t>评标基准价为满足招标文件要求且最低的投标评审价；</w:t>
            </w:r>
          </w:p>
          <w:p>
            <w:pPr>
              <w:spacing w:line="360" w:lineRule="auto"/>
              <w:rPr>
                <w:rFonts w:ascii="Calibri" w:hAnsi="Calibri" w:cs="宋体"/>
                <w:color w:val="000000"/>
                <w:highlight w:val="none"/>
              </w:rPr>
            </w:pPr>
            <w:r>
              <w:rPr>
                <w:rFonts w:hint="eastAsia" w:ascii="Calibri" w:hAnsi="Calibri" w:cs="宋体"/>
                <w:color w:val="000000"/>
                <w:highlight w:val="none"/>
              </w:rPr>
              <w:t>投标评审价：评标委员会按照报价评审要求确定的最终价格。</w:t>
            </w:r>
          </w:p>
          <w:p>
            <w:pPr>
              <w:rPr>
                <w:rFonts w:hint="eastAsia" w:ascii="宋体"/>
                <w:szCs w:val="21"/>
              </w:rPr>
            </w:pPr>
            <w:r>
              <w:rPr>
                <w:rFonts w:hint="eastAsia" w:ascii="Calibri" w:hAnsi="Calibri" w:cs="宋体"/>
                <w:color w:val="000000"/>
                <w:highlight w:val="none"/>
              </w:rPr>
              <w:t>（商务报价分计算至小数点后第二位、小数点后第三位四舍五入）</w:t>
            </w:r>
          </w:p>
        </w:tc>
      </w:tr>
    </w:tbl>
    <w:p>
      <w:pPr>
        <w:widowControl/>
        <w:rPr>
          <w:rFonts w:hint="eastAsia" w:asciiTheme="minorEastAsia" w:hAnsiTheme="minorEastAsia" w:eastAsiaTheme="minorEastAsia" w:cstheme="minorEastAsia"/>
          <w:b/>
          <w:color w:val="000000"/>
          <w:szCs w:val="21"/>
          <w:lang w:val="en-US"/>
        </w:rPr>
      </w:pPr>
      <w:r>
        <w:rPr>
          <w:rFonts w:hint="eastAsia" w:asciiTheme="minorEastAsia" w:hAnsiTheme="minorEastAsia" w:eastAsiaTheme="minorEastAsia" w:cstheme="minorEastAsia"/>
          <w:b/>
          <w:color w:val="000000"/>
          <w:szCs w:val="21"/>
          <w:lang w:val="en-US"/>
        </w:rPr>
        <w:t xml:space="preserve">注： </w:t>
      </w:r>
    </w:p>
    <w:p>
      <w:pPr>
        <w:widowControl/>
        <w:spacing w:line="360" w:lineRule="auto"/>
        <w:rPr>
          <w:rFonts w:hint="eastAsia" w:asciiTheme="minorEastAsia" w:hAnsiTheme="minorEastAsia" w:eastAsiaTheme="minorEastAsia" w:cstheme="minorEastAsia"/>
          <w:b/>
          <w:color w:val="000000"/>
          <w:szCs w:val="21"/>
          <w:lang w:val="en-US"/>
        </w:rPr>
      </w:pPr>
      <w:r>
        <w:rPr>
          <w:rFonts w:hint="eastAsia" w:asciiTheme="minorEastAsia" w:hAnsiTheme="minorEastAsia" w:eastAsiaTheme="minorEastAsia" w:cstheme="minorEastAsia"/>
          <w:b/>
          <w:color w:val="000000"/>
          <w:szCs w:val="21"/>
          <w:lang w:val="en-US"/>
        </w:rPr>
        <w:t>1、以上评分标准中要求的相关证明材料，投标人须将所有评分材料按要求提供清晰扫描件。</w:t>
      </w:r>
      <w:r>
        <w:rPr>
          <w:rFonts w:hint="eastAsia" w:asciiTheme="minorEastAsia" w:hAnsiTheme="minorEastAsia" w:eastAsiaTheme="minorEastAsia" w:cstheme="minorEastAsia"/>
          <w:b/>
          <w:color w:val="000000"/>
          <w:szCs w:val="21"/>
          <w:lang w:val="en-US" w:eastAsia="zh-CN"/>
        </w:rPr>
        <w:t>若因提供材料不清晰而无法判别，由此导致不良后果，由投标人自行承担。</w:t>
      </w:r>
    </w:p>
    <w:p>
      <w:pPr>
        <w:widowControl/>
        <w:spacing w:line="360" w:lineRule="auto"/>
        <w:rPr>
          <w:rFonts w:hint="eastAsia" w:asciiTheme="minorEastAsia" w:hAnsiTheme="minorEastAsia" w:eastAsiaTheme="minorEastAsia" w:cstheme="minorEastAsia"/>
          <w:b/>
          <w:color w:val="000000"/>
          <w:szCs w:val="21"/>
          <w:lang w:val="en-US"/>
        </w:rPr>
      </w:pPr>
      <w:r>
        <w:rPr>
          <w:rFonts w:hint="eastAsia" w:asciiTheme="minorEastAsia" w:hAnsiTheme="minorEastAsia" w:eastAsiaTheme="minorEastAsia" w:cstheme="minorEastAsia"/>
          <w:b/>
          <w:color w:val="000000"/>
          <w:szCs w:val="21"/>
          <w:lang w:val="en-US"/>
        </w:rPr>
        <w:t xml:space="preserve">2、以上材料及证明文件必须保证其有效性，真实性，合法性，完整性，否则将取消其中标侯选人的资格，采购人有权在中标结果公告发布后签订合同前根据项目情况要求中标人提供相应的原件以核查。 </w:t>
      </w:r>
    </w:p>
    <w:p>
      <w:pPr>
        <w:spacing w:line="360" w:lineRule="auto"/>
        <w:ind w:firstLine="310" w:firstLineChars="147"/>
        <w:rPr>
          <w:rFonts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备注：</w:t>
      </w:r>
    </w:p>
    <w:p>
      <w:pPr>
        <w:numPr>
          <w:ilvl w:val="0"/>
          <w:numId w:val="5"/>
        </w:numPr>
        <w:spacing w:line="360" w:lineRule="auto"/>
        <w:ind w:left="-100" w:leftChars="0" w:firstLine="310" w:firstLineChars="0"/>
        <w:rPr>
          <w:rFonts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以上评分汇总分精确至小数点后二位、小数点后第三位四舍五入。</w:t>
      </w:r>
    </w:p>
    <w:p>
      <w:pPr>
        <w:spacing w:line="360" w:lineRule="auto"/>
        <w:ind w:firstLine="527" w:firstLineChars="250"/>
        <w:rPr>
          <w:rFonts w:asciiTheme="minorEastAsia" w:hAnsiTheme="minorEastAsia" w:eastAsiaTheme="minorEastAsia" w:cstheme="minorEastAsia"/>
          <w:b/>
          <w:szCs w:val="21"/>
        </w:rPr>
      </w:pPr>
      <w:r>
        <w:rPr>
          <w:rFonts w:hint="eastAsia" w:asciiTheme="minorEastAsia" w:hAnsiTheme="minorEastAsia" w:eastAsiaTheme="minorEastAsia" w:cstheme="minorEastAsia"/>
          <w:b/>
          <w:color w:val="000000"/>
          <w:szCs w:val="21"/>
        </w:rPr>
        <w:t>（2）</w:t>
      </w:r>
      <w:r>
        <w:rPr>
          <w:rFonts w:hint="eastAsia" w:asciiTheme="minorEastAsia" w:hAnsiTheme="minorEastAsia" w:eastAsiaTheme="minorEastAsia" w:cstheme="minorEastAsia"/>
          <w:b/>
          <w:szCs w:val="21"/>
        </w:rPr>
        <w:t>投标人提供的证明材料要能清晰反映评分的实质内容，如因材料模糊不清，导致评标委员会无法辨认的，评标委员会可以不予认可，一切后果由投标人自行承担。</w:t>
      </w:r>
    </w:p>
    <w:p>
      <w:pPr>
        <w:spacing w:line="360" w:lineRule="auto"/>
        <w:ind w:firstLine="422" w:firstLineChars="200"/>
        <w:rPr>
          <w:rFonts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（3）以上评分项中要求投标人提供的证明文件，投标人提供证明文件的扫描件或复印件或影印件即可。</w:t>
      </w:r>
    </w:p>
    <w:p>
      <w:pPr>
        <w:pStyle w:val="5"/>
        <w:ind w:left="0" w:leftChars="0" w:firstLine="0" w:firstLineChars="0"/>
        <w:rPr>
          <w:rFonts w:hint="eastAsia"/>
        </w:rPr>
      </w:pPr>
    </w:p>
    <w:p>
      <w:pPr>
        <w:widowControl/>
        <w:spacing w:line="500" w:lineRule="exact"/>
        <w:ind w:firstLine="420"/>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2.5、失信核查</w:t>
      </w:r>
    </w:p>
    <w:p>
      <w:pPr>
        <w:widowControl/>
        <w:spacing w:line="500" w:lineRule="exact"/>
        <w:ind w:firstLine="420"/>
        <w:jc w:val="left"/>
        <w:rPr>
          <w:rStyle w:val="39"/>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评标委员会查询排序前三名的投标人信用记录，投标人存在不良信用记录的，</w:t>
      </w:r>
      <w:r>
        <w:fldChar w:fldCharType="begin"/>
      </w:r>
      <w:r>
        <w:instrText xml:space="preserve"> HYPERLINK "http://www.ccgp.gov.cn/），若核查存在政府采购严重违法失信名单记录的投标人，评标委员会不得将其推荐为中标候选人，依序递补，并再次对递补的投标人进行核查及计算信用评审价。" </w:instrText>
      </w:r>
      <w:r>
        <w:fldChar w:fldCharType="separate"/>
      </w:r>
      <w:r>
        <w:rPr>
          <w:rStyle w:val="39"/>
          <w:rFonts w:hint="eastAsia" w:asciiTheme="minorEastAsia" w:hAnsiTheme="minorEastAsia" w:eastAsiaTheme="minorEastAsia" w:cstheme="minorEastAsia"/>
          <w:color w:val="000000"/>
          <w:szCs w:val="21"/>
        </w:rPr>
        <w:t>评标委员会不得将其推荐为中标候选人，依序递补，并再次对递补的投标人进行核查。</w:t>
      </w:r>
      <w:r>
        <w:rPr>
          <w:rStyle w:val="39"/>
          <w:rFonts w:hint="eastAsia" w:asciiTheme="minorEastAsia" w:hAnsiTheme="minorEastAsia" w:eastAsiaTheme="minorEastAsia" w:cstheme="minorEastAsia"/>
          <w:color w:val="000000"/>
          <w:szCs w:val="21"/>
        </w:rPr>
        <w:fldChar w:fldCharType="end"/>
      </w:r>
    </w:p>
    <w:p>
      <w:pPr>
        <w:widowControl/>
        <w:spacing w:line="500" w:lineRule="exact"/>
        <w:ind w:firstLine="42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2.5.1不良信用记录是指：（1）供应商被人民法院列入失信被执行人；（2）供应商或其法定代表人或拟派项目经理（项目负责人）被人民检察院列入行贿犯罪档案；（3）供应商被市场监督管理部门列入企业经营异常名录；（4）供应商被税务部门列入重大税收违法案件当事人名单；（5）供应商被政府采购监管部门列入政府采购严重违法失信行为记录名单，以及存在《中华人民共和国政府采购法实施条例》第十九条规定的行政处罚记录。以联合体形式参加投标的，联合体任何成员存在以上不良信用记录的，联合体投标将被认定为投标无效。</w:t>
      </w:r>
    </w:p>
    <w:p>
      <w:pPr>
        <w:widowControl/>
        <w:spacing w:line="500" w:lineRule="exact"/>
        <w:ind w:firstLine="42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2.5.2</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信用信息查询渠道：中国政府采购网（www.ccgp.gov.cn）、“信用中国”网站（</w:t>
      </w:r>
      <w:r>
        <w:fldChar w:fldCharType="begin"/>
      </w:r>
      <w:r>
        <w:instrText xml:space="preserve"> HYPERLINK "http://www.creditchina.gov.cn" </w:instrText>
      </w:r>
      <w:r>
        <w:fldChar w:fldCharType="separate"/>
      </w:r>
      <w:r>
        <w:rPr>
          <w:rFonts w:hint="eastAsia" w:asciiTheme="minorEastAsia" w:hAnsiTheme="minorEastAsia" w:eastAsiaTheme="minorEastAsia" w:cstheme="minorEastAsia"/>
        </w:rPr>
        <w:t>www.creditchina.gov.cn</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szCs w:val="21"/>
        </w:rPr>
        <w:t>）。</w:t>
      </w:r>
    </w:p>
    <w:p>
      <w:pPr>
        <w:pStyle w:val="27"/>
        <w:ind w:left="0" w:leftChars="0" w:firstLine="0" w:firstLineChars="0"/>
        <w:rPr>
          <w:rFonts w:hint="default" w:eastAsia="宋体"/>
          <w:lang w:val="en-US" w:eastAsia="zh-CN"/>
        </w:rPr>
      </w:pPr>
      <w:r>
        <w:rPr>
          <w:rFonts w:hint="eastAsia"/>
          <w:lang w:val="en-US" w:eastAsia="zh-CN"/>
        </w:rPr>
        <w:t xml:space="preserve">   </w:t>
      </w:r>
      <w:r>
        <w:rPr>
          <w:rFonts w:hint="eastAsia" w:asciiTheme="minorEastAsia" w:hAnsiTheme="minorEastAsia" w:eastAsiaTheme="minorEastAsia" w:cstheme="minorEastAsia"/>
          <w:kern w:val="2"/>
          <w:sz w:val="21"/>
          <w:szCs w:val="21"/>
          <w:lang w:val="en-US" w:eastAsia="zh-CN" w:bidi="ar-SA"/>
        </w:rPr>
        <w:t xml:space="preserve"> 2.5.3、在评标过程中，若出现符合要求的供应商不足三家且只有两家时，报业主单位及上级主管部门同意后，可进入竞争性谈判或二次议价；</w:t>
      </w:r>
    </w:p>
    <w:p>
      <w:pPr>
        <w:widowControl/>
        <w:spacing w:line="500" w:lineRule="exact"/>
        <w:ind w:firstLine="420"/>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2.5.3、确定中标候选人排序：评委会对通过投标文件</w:t>
      </w:r>
      <w:r>
        <w:rPr>
          <w:rFonts w:hint="eastAsia" w:asciiTheme="minorEastAsia" w:hAnsiTheme="minorEastAsia" w:eastAsiaTheme="minorEastAsia" w:cstheme="minorEastAsia"/>
          <w:bCs/>
          <w:color w:val="000000"/>
        </w:rPr>
        <w:t>符合性审查</w:t>
      </w:r>
      <w:r>
        <w:rPr>
          <w:rFonts w:hint="eastAsia" w:asciiTheme="minorEastAsia" w:hAnsiTheme="minorEastAsia" w:eastAsiaTheme="minorEastAsia" w:cstheme="minorEastAsia"/>
          <w:color w:val="000000"/>
          <w:szCs w:val="21"/>
        </w:rPr>
        <w:t>、报价评审和失信核查的投标人，根据最终得分由高至低的顺序排列。评分最高的为第一中标候选人；次高的为第二中标候选人，第三高的为第三中标候选人。若出现两家或两家以上投标人评分最高且相等，则报价低的投标人排序在前；若出现两家或两家以上投标人评分最高、报价也相同，则由招标人采取现场随机抽取的方式确定中标候选人排序。</w:t>
      </w:r>
    </w:p>
    <w:p>
      <w:pPr>
        <w:rPr>
          <w:rFonts w:asciiTheme="minorEastAsia" w:hAnsiTheme="minorEastAsia" w:eastAsiaTheme="minorEastAsia" w:cstheme="minorEastAsia"/>
          <w:szCs w:val="21"/>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ind w:left="0" w:firstLine="0"/>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ind w:left="0" w:leftChars="0" w:firstLine="0" w:firstLineChars="0"/>
        <w:rPr>
          <w:rFonts w:asciiTheme="minorEastAsia" w:hAnsiTheme="minorEastAsia" w:eastAsiaTheme="minorEastAsia" w:cstheme="minorEastAsia"/>
        </w:rPr>
      </w:pPr>
    </w:p>
    <w:p>
      <w:pPr>
        <w:pStyle w:val="2"/>
        <w:ind w:left="0" w:leftChars="0" w:firstLine="0" w:firstLineChars="0"/>
        <w:rPr>
          <w:rFonts w:asciiTheme="minorEastAsia" w:hAnsiTheme="minorEastAsia" w:eastAsiaTheme="minorEastAsia" w:cstheme="minorEastAsia"/>
        </w:rPr>
      </w:pPr>
    </w:p>
    <w:p>
      <w:pPr>
        <w:pStyle w:val="2"/>
        <w:ind w:left="0" w:leftChars="0" w:firstLine="0" w:firstLineChars="0"/>
        <w:rPr>
          <w:rFonts w:asciiTheme="minorEastAsia" w:hAnsiTheme="minorEastAsia" w:eastAsiaTheme="minorEastAsia" w:cstheme="minorEastAsia"/>
        </w:rPr>
      </w:pPr>
    </w:p>
    <w:p>
      <w:pPr>
        <w:pStyle w:val="3"/>
        <w:numPr>
          <w:ilvl w:val="0"/>
          <w:numId w:val="1"/>
        </w:numPr>
        <w:rPr>
          <w:rFonts w:asciiTheme="minorEastAsia" w:hAnsiTheme="minorEastAsia" w:eastAsiaTheme="minorEastAsia" w:cstheme="minorEastAsia"/>
        </w:rPr>
      </w:pPr>
      <w:bookmarkStart w:id="80" w:name="_Toc18076"/>
      <w:bookmarkStart w:id="81" w:name="_Toc25944"/>
      <w:bookmarkStart w:id="82" w:name="_Toc15562"/>
      <w:bookmarkStart w:id="83" w:name="_Toc9653"/>
      <w:r>
        <w:rPr>
          <w:rFonts w:hint="eastAsia" w:asciiTheme="minorEastAsia" w:hAnsiTheme="minorEastAsia" w:eastAsiaTheme="minorEastAsia" w:cstheme="minorEastAsia"/>
        </w:rPr>
        <w:t>采购需求</w:t>
      </w:r>
      <w:bookmarkEnd w:id="80"/>
      <w:bookmarkEnd w:id="81"/>
      <w:bookmarkEnd w:id="82"/>
      <w:bookmarkEnd w:id="83"/>
    </w:p>
    <w:p>
      <w:pPr>
        <w:ind w:firstLine="422" w:firstLineChars="200"/>
        <w:rPr>
          <w:rFonts w:asciiTheme="minorEastAsia" w:hAnsiTheme="minorEastAsia" w:eastAsiaTheme="minorEastAsia" w:cstheme="minorEastAsia"/>
          <w:b/>
          <w:bCs/>
          <w:szCs w:val="21"/>
        </w:rPr>
      </w:pPr>
      <w:bookmarkStart w:id="84" w:name="_Toc24273"/>
    </w:p>
    <w:p>
      <w:pPr>
        <w:ind w:firstLine="420"/>
        <w:rPr>
          <w:rFonts w:asciiTheme="minorEastAsia" w:hAnsiTheme="minorEastAsia" w:eastAsiaTheme="minorEastAsia" w:cstheme="minorEastAsia"/>
          <w:b/>
          <w:bCs/>
          <w:color w:val="000000"/>
          <w:sz w:val="24"/>
        </w:rPr>
      </w:pPr>
      <w:r>
        <w:rPr>
          <w:rFonts w:hint="eastAsia" w:asciiTheme="minorEastAsia" w:hAnsiTheme="minorEastAsia" w:eastAsiaTheme="minorEastAsia" w:cstheme="minorEastAsia"/>
          <w:b/>
          <w:bCs/>
          <w:color w:val="000000"/>
          <w:sz w:val="24"/>
        </w:rPr>
        <w:t>本项目采购标的所属行业：______________(此栏目为必填)</w:t>
      </w:r>
    </w:p>
    <w:p>
      <w:pPr>
        <w:ind w:firstLine="422" w:firstLineChars="200"/>
        <w:rPr>
          <w:rFonts w:asciiTheme="minorEastAsia" w:hAnsiTheme="minorEastAsia" w:eastAsiaTheme="minorEastAsia" w:cstheme="minorEastAsia"/>
          <w:b/>
          <w:bCs/>
          <w:szCs w:val="21"/>
        </w:rPr>
      </w:pPr>
    </w:p>
    <w:p>
      <w:pPr>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一、商务要求：</w:t>
      </w:r>
    </w:p>
    <w:p>
      <w:pPr>
        <w:ind w:firstLine="422" w:firstLineChars="200"/>
        <w:rPr>
          <w:rFonts w:asciiTheme="minorEastAsia" w:hAnsiTheme="minorEastAsia" w:eastAsiaTheme="minorEastAsia" w:cstheme="minorEastAsia"/>
          <w:b/>
          <w:bCs/>
          <w:szCs w:val="21"/>
        </w:rPr>
      </w:pPr>
    </w:p>
    <w:tbl>
      <w:tblPr>
        <w:tblStyle w:val="28"/>
        <w:tblW w:w="450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1"/>
        <w:gridCol w:w="2487"/>
        <w:gridCol w:w="5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483" w:type="pct"/>
            <w:vAlign w:val="center"/>
          </w:tcPr>
          <w:p>
            <w:pPr>
              <w:pStyle w:val="15"/>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序号</w:t>
            </w:r>
          </w:p>
        </w:tc>
        <w:tc>
          <w:tcPr>
            <w:tcW w:w="1428" w:type="pct"/>
            <w:vAlign w:val="center"/>
          </w:tcPr>
          <w:p>
            <w:pPr>
              <w:pStyle w:val="15"/>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bCs/>
                <w:sz w:val="24"/>
                <w:szCs w:val="24"/>
              </w:rPr>
              <w:t>商务条款名称</w:t>
            </w:r>
          </w:p>
          <w:p>
            <w:pPr>
              <w:rPr>
                <w:rFonts w:asciiTheme="minorEastAsia" w:hAnsiTheme="minorEastAsia" w:eastAsiaTheme="minorEastAsia" w:cstheme="minorEastAsia"/>
              </w:rPr>
            </w:pPr>
          </w:p>
        </w:tc>
        <w:tc>
          <w:tcPr>
            <w:tcW w:w="3088" w:type="pct"/>
            <w:vAlign w:val="center"/>
          </w:tcPr>
          <w:p>
            <w:pPr>
              <w:pStyle w:val="15"/>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具体要求内容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83" w:type="pct"/>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2391"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付款方式</w:t>
            </w:r>
          </w:p>
        </w:tc>
        <w:tc>
          <w:tcPr>
            <w:tcW w:w="3088" w:type="pct"/>
            <w:vAlign w:val="center"/>
          </w:tcPr>
          <w:p>
            <w:pPr>
              <w:jc w:val="left"/>
              <w:rPr>
                <w:rFonts w:asciiTheme="minorEastAsia" w:hAnsiTheme="minorEastAsia" w:eastAsiaTheme="minorEastAsia" w:cstheme="minorEastAsia"/>
                <w:sz w:val="24"/>
              </w:rPr>
            </w:pPr>
            <w:r>
              <w:rPr>
                <w:rFonts w:hint="eastAsia" w:ascii="宋体" w:hAnsi="宋体" w:cs="宋体"/>
                <w:b/>
                <w:color w:val="FF0000"/>
                <w:szCs w:val="21"/>
              </w:rPr>
              <w:t>根据实际需要分批采购，货物经验收合格后，入库</w:t>
            </w:r>
            <w:r>
              <w:rPr>
                <w:rFonts w:hint="eastAsia" w:ascii="宋体" w:hAnsi="宋体" w:cs="宋体"/>
                <w:b/>
                <w:color w:val="FF0000"/>
                <w:szCs w:val="21"/>
                <w:lang w:val="en-US" w:eastAsia="zh-CN"/>
              </w:rPr>
              <w:t>三</w:t>
            </w:r>
            <w:r>
              <w:rPr>
                <w:rFonts w:hint="eastAsia" w:ascii="宋体" w:hAnsi="宋体" w:cs="宋体"/>
                <w:b/>
                <w:color w:val="FF0000"/>
                <w:szCs w:val="21"/>
              </w:rPr>
              <w:t>个月后付款（不计息）。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83" w:type="pct"/>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p>
        </w:tc>
        <w:tc>
          <w:tcPr>
            <w:tcW w:w="2391"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服务地点</w:t>
            </w:r>
          </w:p>
        </w:tc>
        <w:tc>
          <w:tcPr>
            <w:tcW w:w="3088" w:type="pct"/>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sz w:val="24"/>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83" w:type="pct"/>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w:t>
            </w:r>
          </w:p>
        </w:tc>
        <w:tc>
          <w:tcPr>
            <w:tcW w:w="2391"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服务期限</w:t>
            </w:r>
          </w:p>
        </w:tc>
        <w:tc>
          <w:tcPr>
            <w:tcW w:w="3088" w:type="pct"/>
            <w:vAlign w:val="center"/>
          </w:tcPr>
          <w:p>
            <w:pPr>
              <w:jc w:val="center"/>
              <w:rPr>
                <w:rFonts w:asciiTheme="minorEastAsia" w:hAnsiTheme="minorEastAsia" w:eastAsiaTheme="minorEastAsia" w:cstheme="minorEastAsia"/>
                <w:sz w:val="24"/>
              </w:rPr>
            </w:pPr>
            <w:r>
              <w:rPr>
                <w:rFonts w:hint="eastAsia" w:cs="Times New Roman" w:asciiTheme="minorEastAsia" w:hAnsiTheme="minorEastAsia" w:eastAsiaTheme="minorEastAsia"/>
                <w:sz w:val="24"/>
                <w:lang w:val="en-US" w:eastAsia="zh-CN"/>
              </w:rPr>
              <w:t>一</w:t>
            </w:r>
            <w:r>
              <w:rPr>
                <w:rFonts w:hint="eastAsia" w:cs="Times New Roman" w:asciiTheme="minorEastAsia" w:hAnsiTheme="minorEastAsia" w:eastAsiaTheme="minorEastAsia"/>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83" w:type="pct"/>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p>
        </w:tc>
        <w:tc>
          <w:tcPr>
            <w:tcW w:w="1428" w:type="pct"/>
            <w:vAlign w:val="center"/>
          </w:tcPr>
          <w:p>
            <w:pPr>
              <w:jc w:val="center"/>
              <w:rPr>
                <w:rFonts w:asciiTheme="minorEastAsia" w:hAnsiTheme="minorEastAsia" w:eastAsiaTheme="minorEastAsia" w:cstheme="minorEastAsia"/>
                <w:sz w:val="24"/>
              </w:rPr>
            </w:pPr>
          </w:p>
        </w:tc>
        <w:tc>
          <w:tcPr>
            <w:tcW w:w="3088" w:type="pct"/>
            <w:vAlign w:val="center"/>
          </w:tcPr>
          <w:p>
            <w:pPr>
              <w:jc w:val="center"/>
              <w:rPr>
                <w:rFonts w:asciiTheme="minorEastAsia" w:hAnsiTheme="minorEastAsia" w:eastAsiaTheme="minorEastAsia" w:cstheme="minorEastAsia"/>
                <w:sz w:val="24"/>
              </w:rPr>
            </w:pPr>
          </w:p>
        </w:tc>
      </w:tr>
    </w:tbl>
    <w:p>
      <w:pPr>
        <w:ind w:firstLine="422" w:firstLineChars="200"/>
        <w:rPr>
          <w:rFonts w:asciiTheme="minorEastAsia" w:hAnsiTheme="minorEastAsia" w:eastAsiaTheme="minorEastAsia" w:cstheme="minorEastAsia"/>
          <w:b/>
          <w:bCs/>
          <w:szCs w:val="21"/>
        </w:rPr>
      </w:pPr>
    </w:p>
    <w:p>
      <w:pPr>
        <w:pStyle w:val="6"/>
        <w:ind w:firstLine="472" w:firstLineChars="196"/>
        <w:rPr>
          <w:rFonts w:asciiTheme="minorEastAsia" w:hAnsiTheme="minorEastAsia" w:eastAsiaTheme="minorEastAsia" w:cstheme="minorEastAsia"/>
          <w:bCs/>
          <w:szCs w:val="24"/>
        </w:rPr>
      </w:pPr>
      <w:bookmarkStart w:id="85" w:name="_Toc24745"/>
    </w:p>
    <w:p>
      <w:pPr>
        <w:pStyle w:val="6"/>
        <w:ind w:firstLine="472" w:firstLineChars="196"/>
        <w:rPr>
          <w:rFonts w:asciiTheme="minorEastAsia" w:hAnsiTheme="minorEastAsia" w:eastAsiaTheme="minorEastAsia" w:cstheme="minorEastAsia"/>
          <w:bCs/>
          <w:szCs w:val="24"/>
        </w:rPr>
      </w:pPr>
    </w:p>
    <w:p>
      <w:pPr>
        <w:pStyle w:val="5"/>
        <w:rPr>
          <w:rFonts w:asciiTheme="minorEastAsia" w:hAnsiTheme="minorEastAsia" w:eastAsiaTheme="minorEastAsia" w:cstheme="minorEastAsia"/>
          <w:bCs/>
          <w:szCs w:val="24"/>
        </w:rPr>
      </w:pPr>
    </w:p>
    <w:p>
      <w:pPr>
        <w:pStyle w:val="5"/>
        <w:rPr>
          <w:rFonts w:asciiTheme="minorEastAsia" w:hAnsiTheme="minorEastAsia" w:eastAsiaTheme="minorEastAsia" w:cstheme="minorEastAsia"/>
          <w:bCs/>
          <w:szCs w:val="24"/>
        </w:rPr>
      </w:pPr>
    </w:p>
    <w:p>
      <w:pPr>
        <w:pStyle w:val="5"/>
        <w:rPr>
          <w:rFonts w:asciiTheme="minorEastAsia" w:hAnsiTheme="minorEastAsia" w:eastAsiaTheme="minorEastAsia" w:cstheme="minorEastAsia"/>
          <w:bCs/>
          <w:szCs w:val="24"/>
        </w:rPr>
      </w:pPr>
    </w:p>
    <w:p>
      <w:pPr>
        <w:pStyle w:val="5"/>
        <w:rPr>
          <w:rFonts w:asciiTheme="minorEastAsia" w:hAnsiTheme="minorEastAsia" w:eastAsiaTheme="minorEastAsia" w:cstheme="minorEastAsia"/>
          <w:bCs/>
          <w:szCs w:val="24"/>
        </w:rPr>
      </w:pPr>
    </w:p>
    <w:p>
      <w:pPr>
        <w:pStyle w:val="5"/>
        <w:rPr>
          <w:rFonts w:asciiTheme="minorEastAsia" w:hAnsiTheme="minorEastAsia" w:eastAsiaTheme="minorEastAsia" w:cstheme="minorEastAsia"/>
          <w:bCs/>
          <w:szCs w:val="24"/>
        </w:rPr>
      </w:pPr>
    </w:p>
    <w:p>
      <w:pPr>
        <w:pStyle w:val="5"/>
        <w:rPr>
          <w:rFonts w:asciiTheme="minorEastAsia" w:hAnsiTheme="minorEastAsia" w:eastAsiaTheme="minorEastAsia" w:cstheme="minorEastAsia"/>
          <w:bCs/>
          <w:szCs w:val="24"/>
        </w:rPr>
      </w:pPr>
    </w:p>
    <w:p>
      <w:pPr>
        <w:pStyle w:val="5"/>
        <w:rPr>
          <w:rFonts w:asciiTheme="minorEastAsia" w:hAnsiTheme="minorEastAsia" w:eastAsiaTheme="minorEastAsia" w:cstheme="minorEastAsia"/>
          <w:bCs/>
          <w:szCs w:val="24"/>
        </w:rPr>
      </w:pPr>
    </w:p>
    <w:p>
      <w:pPr>
        <w:pStyle w:val="5"/>
        <w:rPr>
          <w:rFonts w:asciiTheme="minorEastAsia" w:hAnsiTheme="minorEastAsia" w:eastAsiaTheme="minorEastAsia" w:cstheme="minorEastAsia"/>
          <w:bCs/>
          <w:szCs w:val="24"/>
        </w:rPr>
      </w:pPr>
    </w:p>
    <w:p>
      <w:pPr>
        <w:pStyle w:val="5"/>
        <w:rPr>
          <w:rFonts w:asciiTheme="minorEastAsia" w:hAnsiTheme="minorEastAsia" w:eastAsiaTheme="minorEastAsia" w:cstheme="minorEastAsia"/>
          <w:bCs/>
          <w:szCs w:val="24"/>
        </w:rPr>
      </w:pPr>
    </w:p>
    <w:p>
      <w:pPr>
        <w:pStyle w:val="5"/>
        <w:rPr>
          <w:rFonts w:asciiTheme="minorEastAsia" w:hAnsiTheme="minorEastAsia" w:eastAsiaTheme="minorEastAsia" w:cstheme="minorEastAsia"/>
          <w:bCs/>
          <w:szCs w:val="24"/>
        </w:rPr>
      </w:pPr>
    </w:p>
    <w:p>
      <w:pPr>
        <w:pStyle w:val="5"/>
        <w:rPr>
          <w:rFonts w:asciiTheme="minorEastAsia" w:hAnsiTheme="minorEastAsia" w:eastAsiaTheme="minorEastAsia" w:cstheme="minorEastAsia"/>
          <w:bCs/>
          <w:szCs w:val="24"/>
        </w:rPr>
      </w:pPr>
    </w:p>
    <w:p>
      <w:pPr>
        <w:pStyle w:val="5"/>
        <w:rPr>
          <w:rFonts w:asciiTheme="minorEastAsia" w:hAnsiTheme="minorEastAsia" w:eastAsiaTheme="minorEastAsia" w:cstheme="minorEastAsia"/>
          <w:bCs/>
          <w:szCs w:val="24"/>
        </w:rPr>
      </w:pPr>
    </w:p>
    <w:p>
      <w:pPr>
        <w:pStyle w:val="5"/>
        <w:rPr>
          <w:rFonts w:asciiTheme="minorEastAsia" w:hAnsiTheme="minorEastAsia" w:eastAsiaTheme="minorEastAsia" w:cstheme="minorEastAsia"/>
          <w:bCs/>
          <w:szCs w:val="24"/>
        </w:rPr>
      </w:pPr>
    </w:p>
    <w:p>
      <w:pPr>
        <w:pStyle w:val="5"/>
        <w:rPr>
          <w:rFonts w:asciiTheme="minorEastAsia" w:hAnsiTheme="minorEastAsia" w:eastAsiaTheme="minorEastAsia" w:cstheme="minorEastAsia"/>
          <w:bCs/>
          <w:szCs w:val="24"/>
        </w:rPr>
      </w:pPr>
    </w:p>
    <w:p>
      <w:pPr>
        <w:pStyle w:val="5"/>
        <w:rPr>
          <w:rFonts w:asciiTheme="minorEastAsia" w:hAnsiTheme="minorEastAsia" w:eastAsiaTheme="minorEastAsia" w:cstheme="minorEastAsia"/>
          <w:bCs/>
          <w:szCs w:val="24"/>
        </w:rPr>
      </w:pPr>
    </w:p>
    <w:p>
      <w:pPr>
        <w:pStyle w:val="5"/>
        <w:rPr>
          <w:rFonts w:asciiTheme="minorEastAsia" w:hAnsiTheme="minorEastAsia" w:eastAsiaTheme="minorEastAsia" w:cstheme="minorEastAsia"/>
          <w:bCs/>
          <w:szCs w:val="24"/>
        </w:rPr>
      </w:pPr>
    </w:p>
    <w:p>
      <w:pPr>
        <w:pStyle w:val="5"/>
        <w:rPr>
          <w:rFonts w:asciiTheme="minorEastAsia" w:hAnsiTheme="minorEastAsia" w:eastAsiaTheme="minorEastAsia" w:cstheme="minorEastAsia"/>
          <w:bCs/>
          <w:szCs w:val="24"/>
        </w:rPr>
      </w:pPr>
    </w:p>
    <w:p>
      <w:pPr>
        <w:pStyle w:val="5"/>
        <w:rPr>
          <w:rFonts w:asciiTheme="minorEastAsia" w:hAnsiTheme="minorEastAsia" w:eastAsiaTheme="minorEastAsia" w:cstheme="minorEastAsia"/>
          <w:bCs/>
          <w:szCs w:val="24"/>
        </w:rPr>
      </w:pPr>
    </w:p>
    <w:p>
      <w:pPr>
        <w:pStyle w:val="5"/>
        <w:rPr>
          <w:rFonts w:asciiTheme="minorEastAsia" w:hAnsiTheme="minorEastAsia" w:eastAsiaTheme="minorEastAsia" w:cstheme="minorEastAsia"/>
          <w:bCs/>
          <w:szCs w:val="24"/>
        </w:rPr>
      </w:pPr>
    </w:p>
    <w:p>
      <w:pPr>
        <w:pStyle w:val="5"/>
        <w:rPr>
          <w:rFonts w:asciiTheme="minorEastAsia" w:hAnsiTheme="minorEastAsia" w:eastAsiaTheme="minorEastAsia" w:cstheme="minorEastAsia"/>
          <w:bCs/>
          <w:szCs w:val="24"/>
        </w:rPr>
      </w:pPr>
    </w:p>
    <w:p>
      <w:pPr>
        <w:pStyle w:val="5"/>
        <w:rPr>
          <w:rFonts w:asciiTheme="minorEastAsia" w:hAnsiTheme="minorEastAsia" w:eastAsiaTheme="minorEastAsia" w:cstheme="minorEastAsia"/>
          <w:bCs/>
          <w:szCs w:val="24"/>
        </w:rPr>
      </w:pPr>
    </w:p>
    <w:p>
      <w:pPr>
        <w:pStyle w:val="5"/>
        <w:rPr>
          <w:rFonts w:asciiTheme="minorEastAsia" w:hAnsiTheme="minorEastAsia" w:eastAsiaTheme="minorEastAsia" w:cstheme="minorEastAsia"/>
          <w:bCs/>
          <w:szCs w:val="24"/>
        </w:rPr>
      </w:pPr>
    </w:p>
    <w:p>
      <w:pPr>
        <w:pStyle w:val="5"/>
        <w:rPr>
          <w:rFonts w:asciiTheme="minorEastAsia" w:hAnsiTheme="minorEastAsia" w:eastAsiaTheme="minorEastAsia" w:cstheme="minorEastAsia"/>
          <w:bCs/>
          <w:szCs w:val="24"/>
        </w:rPr>
      </w:pPr>
    </w:p>
    <w:p>
      <w:pPr>
        <w:pStyle w:val="5"/>
        <w:rPr>
          <w:rFonts w:asciiTheme="minorEastAsia" w:hAnsiTheme="minorEastAsia" w:eastAsiaTheme="minorEastAsia" w:cstheme="minorEastAsia"/>
          <w:bCs/>
          <w:szCs w:val="24"/>
        </w:rPr>
      </w:pPr>
    </w:p>
    <w:p>
      <w:pPr>
        <w:pStyle w:val="5"/>
        <w:rPr>
          <w:rFonts w:asciiTheme="minorEastAsia" w:hAnsiTheme="minorEastAsia" w:eastAsiaTheme="minorEastAsia" w:cstheme="minorEastAsia"/>
          <w:bCs/>
          <w:szCs w:val="24"/>
        </w:rPr>
      </w:pPr>
    </w:p>
    <w:p>
      <w:pPr>
        <w:pStyle w:val="5"/>
        <w:ind w:left="0" w:leftChars="0" w:firstLine="0" w:firstLineChars="0"/>
        <w:rPr>
          <w:rFonts w:asciiTheme="minorEastAsia" w:hAnsiTheme="minorEastAsia" w:eastAsiaTheme="minorEastAsia" w:cstheme="minorEastAsia"/>
          <w:bCs/>
          <w:szCs w:val="24"/>
        </w:rPr>
      </w:pPr>
    </w:p>
    <w:p>
      <w:pPr>
        <w:pStyle w:val="6"/>
        <w:ind w:firstLine="472" w:firstLineChars="196"/>
        <w:rPr>
          <w:rFonts w:asciiTheme="minorEastAsia" w:hAnsiTheme="minorEastAsia" w:eastAsiaTheme="minorEastAsia" w:cstheme="minorEastAsia"/>
          <w:bCs/>
          <w:szCs w:val="24"/>
        </w:rPr>
      </w:pPr>
      <w:r>
        <w:rPr>
          <w:rFonts w:hint="eastAsia" w:asciiTheme="minorEastAsia" w:hAnsiTheme="minorEastAsia" w:eastAsiaTheme="minorEastAsia" w:cstheme="minorEastAsia"/>
          <w:bCs/>
          <w:szCs w:val="24"/>
        </w:rPr>
        <w:t>二、服务要求一览表</w:t>
      </w:r>
      <w:bookmarkEnd w:id="84"/>
      <w:bookmarkEnd w:id="85"/>
    </w:p>
    <w:p>
      <w:pPr>
        <w:pStyle w:val="57"/>
        <w:jc w:val="center"/>
        <w:rPr>
          <w:rFonts w:hint="eastAsia"/>
        </w:rPr>
      </w:pPr>
      <w:r>
        <w:rPr>
          <w:rFonts w:hint="eastAsia"/>
          <w:b/>
          <w:sz w:val="28"/>
          <w:szCs w:val="28"/>
          <w:lang w:eastAsia="zh-CN"/>
        </w:rPr>
        <w:t>潜山市第一人民医院血透耗材采购项目</w:t>
      </w:r>
      <w:r>
        <w:rPr>
          <w:rFonts w:hint="eastAsia"/>
          <w:b/>
          <w:sz w:val="28"/>
          <w:szCs w:val="28"/>
        </w:rPr>
        <w:t>招标核心条款及采购需求</w:t>
      </w:r>
    </w:p>
    <w:tbl>
      <w:tblPr>
        <w:tblStyle w:val="28"/>
        <w:tblpPr w:leftFromText="180" w:rightFromText="180" w:vertAnchor="text" w:horzAnchor="margin" w:tblpXSpec="center" w:tblpY="248"/>
        <w:tblW w:w="87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2552"/>
        <w:gridCol w:w="3969"/>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675" w:type="dxa"/>
            <w:noWrap/>
            <w:vAlign w:val="center"/>
          </w:tcPr>
          <w:p>
            <w:pPr>
              <w:jc w:val="center"/>
              <w:rPr>
                <w:rFonts w:ascii="宋体" w:hAnsi="宋体"/>
                <w:b/>
                <w:szCs w:val="21"/>
              </w:rPr>
            </w:pPr>
            <w:r>
              <w:rPr>
                <w:rFonts w:hint="eastAsia" w:ascii="宋体" w:hAnsi="宋体"/>
                <w:b/>
                <w:szCs w:val="21"/>
              </w:rPr>
              <w:t>序号</w:t>
            </w:r>
          </w:p>
        </w:tc>
        <w:tc>
          <w:tcPr>
            <w:tcW w:w="2552" w:type="dxa"/>
            <w:noWrap/>
            <w:vAlign w:val="center"/>
          </w:tcPr>
          <w:p>
            <w:pPr>
              <w:jc w:val="center"/>
              <w:rPr>
                <w:rFonts w:ascii="宋体" w:hAnsi="宋体"/>
                <w:b/>
                <w:szCs w:val="21"/>
              </w:rPr>
            </w:pPr>
            <w:r>
              <w:rPr>
                <w:rFonts w:hint="eastAsia" w:ascii="宋体" w:hAnsi="宋体"/>
                <w:b/>
                <w:szCs w:val="21"/>
              </w:rPr>
              <w:t>产品名称</w:t>
            </w:r>
          </w:p>
        </w:tc>
        <w:tc>
          <w:tcPr>
            <w:tcW w:w="3969" w:type="dxa"/>
            <w:noWrap/>
            <w:vAlign w:val="center"/>
          </w:tcPr>
          <w:p>
            <w:pPr>
              <w:jc w:val="center"/>
              <w:rPr>
                <w:rFonts w:ascii="宋体" w:hAnsi="宋体"/>
                <w:b/>
                <w:szCs w:val="21"/>
              </w:rPr>
            </w:pPr>
            <w:r>
              <w:rPr>
                <w:rFonts w:hint="eastAsia" w:ascii="宋体" w:hAnsi="宋体"/>
                <w:b/>
                <w:szCs w:val="21"/>
              </w:rPr>
              <w:t>技术参数规格要求</w:t>
            </w:r>
          </w:p>
        </w:tc>
        <w:tc>
          <w:tcPr>
            <w:tcW w:w="1559" w:type="dxa"/>
            <w:noWrap/>
            <w:vAlign w:val="center"/>
          </w:tcPr>
          <w:p>
            <w:pPr>
              <w:ind w:firstLine="422" w:firstLineChars="200"/>
              <w:rPr>
                <w:rFonts w:ascii="宋体" w:hAnsi="宋体"/>
                <w:b/>
                <w:szCs w:val="21"/>
              </w:rPr>
            </w:pPr>
            <w:r>
              <w:rPr>
                <w:rFonts w:hint="eastAsia" w:ascii="宋体" w:hAnsi="宋体"/>
                <w:b/>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675" w:type="dxa"/>
            <w:shd w:val="clear" w:color="auto" w:fill="auto"/>
            <w:noWrap/>
            <w:vAlign w:val="center"/>
          </w:tcPr>
          <w:p>
            <w:pPr>
              <w:jc w:val="center"/>
              <w:rPr>
                <w:rFonts w:ascii="宋体" w:hAnsi="宋体"/>
                <w:szCs w:val="21"/>
              </w:rPr>
            </w:pPr>
            <w:r>
              <w:rPr>
                <w:rFonts w:hint="eastAsia" w:ascii="宋体" w:hAnsi="宋体"/>
                <w:szCs w:val="21"/>
              </w:rPr>
              <w:t>1</w:t>
            </w:r>
          </w:p>
        </w:tc>
        <w:tc>
          <w:tcPr>
            <w:tcW w:w="2552" w:type="dxa"/>
            <w:shd w:val="clear" w:color="auto" w:fill="auto"/>
            <w:noWrap/>
            <w:vAlign w:val="center"/>
          </w:tcPr>
          <w:p>
            <w:pPr>
              <w:jc w:val="center"/>
              <w:rPr>
                <w:rFonts w:ascii="宋体" w:hAnsi="宋体"/>
                <w:szCs w:val="21"/>
              </w:rPr>
            </w:pPr>
            <w:r>
              <w:rPr>
                <w:rFonts w:hint="eastAsia" w:ascii="宋体" w:hAnsi="宋体"/>
                <w:szCs w:val="21"/>
              </w:rPr>
              <w:t>血液净化体外循环管路</w:t>
            </w:r>
          </w:p>
        </w:tc>
        <w:tc>
          <w:tcPr>
            <w:tcW w:w="3969" w:type="dxa"/>
            <w:noWrap/>
            <w:vAlign w:val="center"/>
          </w:tcPr>
          <w:p>
            <w:pPr>
              <w:jc w:val="left"/>
              <w:rPr>
                <w:rFonts w:ascii="宋体" w:hAnsi="宋体"/>
                <w:szCs w:val="21"/>
              </w:rPr>
            </w:pPr>
            <w:r>
              <w:rPr>
                <w:rFonts w:hint="eastAsia" w:ascii="宋体" w:hAnsi="宋体"/>
                <w:szCs w:val="21"/>
              </w:rPr>
              <w:t>1、产品材质：医用级PVC原料</w:t>
            </w:r>
          </w:p>
          <w:p>
            <w:pPr>
              <w:jc w:val="left"/>
              <w:rPr>
                <w:rFonts w:ascii="宋体" w:hAnsi="宋体"/>
                <w:szCs w:val="21"/>
              </w:rPr>
            </w:pPr>
            <w:r>
              <w:rPr>
                <w:rFonts w:hint="eastAsia" w:ascii="宋体" w:hAnsi="宋体"/>
                <w:szCs w:val="21"/>
              </w:rPr>
              <w:t>2、灭菌方式：环氧乙烷/</w:t>
            </w:r>
          </w:p>
          <w:p>
            <w:pPr>
              <w:jc w:val="left"/>
              <w:rPr>
                <w:rFonts w:ascii="宋体" w:hAnsi="宋体"/>
                <w:szCs w:val="21"/>
              </w:rPr>
            </w:pPr>
            <w:r>
              <w:rPr>
                <w:rFonts w:hint="eastAsia" w:ascii="宋体" w:hAnsi="宋体"/>
                <w:color w:val="000000" w:themeColor="text1"/>
                <w:szCs w:val="21"/>
              </w:rPr>
              <w:t>★</w:t>
            </w:r>
            <w:r>
              <w:rPr>
                <w:rFonts w:hint="eastAsia" w:ascii="宋体" w:hAnsi="宋体"/>
                <w:szCs w:val="21"/>
              </w:rPr>
              <w:t>3、配置：配备传感器保护罩2个，可同时检测泵收集袋；配备输液器，可进行Y型密闭式循环预冲洗和密闭式回血；前压力与泵后压力；配备三通接口废液</w:t>
            </w:r>
          </w:p>
          <w:p>
            <w:pPr>
              <w:jc w:val="left"/>
              <w:rPr>
                <w:rFonts w:ascii="宋体" w:hAnsi="宋体"/>
                <w:szCs w:val="21"/>
              </w:rPr>
            </w:pPr>
            <w:r>
              <w:rPr>
                <w:rFonts w:hint="eastAsia" w:ascii="宋体" w:hAnsi="宋体"/>
                <w:szCs w:val="21"/>
              </w:rPr>
              <w:t>产品认证：具有欧盟CE认证、ISO13485认证；</w:t>
            </w:r>
          </w:p>
          <w:p>
            <w:pPr>
              <w:jc w:val="left"/>
              <w:rPr>
                <w:rFonts w:ascii="宋体" w:hAnsi="宋体"/>
                <w:szCs w:val="21"/>
              </w:rPr>
            </w:pPr>
            <w:r>
              <w:rPr>
                <w:rFonts w:hint="eastAsia" w:ascii="宋体" w:hAnsi="宋体"/>
                <w:szCs w:val="21"/>
              </w:rPr>
              <w:t xml:space="preserve"> 4、所有配置均需在同一包装内，适用于本院所有仪器</w:t>
            </w:r>
          </w:p>
        </w:tc>
        <w:tc>
          <w:tcPr>
            <w:tcW w:w="1559" w:type="dxa"/>
            <w:noWrap/>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4" w:hRule="atLeast"/>
        </w:trPr>
        <w:tc>
          <w:tcPr>
            <w:tcW w:w="675" w:type="dxa"/>
            <w:shd w:val="clear" w:color="auto" w:fill="auto"/>
            <w:noWrap/>
            <w:vAlign w:val="center"/>
          </w:tcPr>
          <w:p>
            <w:pPr>
              <w:jc w:val="center"/>
              <w:rPr>
                <w:rFonts w:ascii="宋体" w:hAnsi="宋体"/>
                <w:szCs w:val="21"/>
              </w:rPr>
            </w:pPr>
            <w:r>
              <w:rPr>
                <w:rFonts w:hint="eastAsia" w:ascii="宋体" w:hAnsi="宋体"/>
                <w:szCs w:val="21"/>
              </w:rPr>
              <w:t>2</w:t>
            </w:r>
          </w:p>
        </w:tc>
        <w:tc>
          <w:tcPr>
            <w:tcW w:w="2552" w:type="dxa"/>
            <w:shd w:val="clear" w:color="auto" w:fill="auto"/>
            <w:noWrap/>
            <w:vAlign w:val="center"/>
          </w:tcPr>
          <w:p>
            <w:pPr>
              <w:jc w:val="center"/>
              <w:rPr>
                <w:rFonts w:ascii="宋体" w:hAnsi="宋体"/>
                <w:szCs w:val="21"/>
              </w:rPr>
            </w:pPr>
            <w:r>
              <w:rPr>
                <w:rFonts w:hint="eastAsia" w:ascii="宋体" w:hAnsi="宋体"/>
                <w:szCs w:val="21"/>
              </w:rPr>
              <w:t>一次性使用动静脉穿刺针</w:t>
            </w:r>
          </w:p>
        </w:tc>
        <w:tc>
          <w:tcPr>
            <w:tcW w:w="3969" w:type="dxa"/>
            <w:noWrap/>
            <w:vAlign w:val="center"/>
          </w:tcPr>
          <w:p>
            <w:pPr>
              <w:jc w:val="left"/>
              <w:rPr>
                <w:rFonts w:ascii="宋体" w:hAnsi="宋体"/>
                <w:szCs w:val="21"/>
              </w:rPr>
            </w:pPr>
            <w:r>
              <w:rPr>
                <w:rFonts w:hint="eastAsia" w:ascii="宋体" w:hAnsi="宋体"/>
                <w:szCs w:val="21"/>
              </w:rPr>
              <w:t>1.规格：16G，针头长度25mm，旋转翼，主要部件采用医用级高分子材料及不锈钢材料制造。</w:t>
            </w:r>
          </w:p>
          <w:p>
            <w:pPr>
              <w:jc w:val="left"/>
              <w:rPr>
                <w:rFonts w:ascii="宋体" w:hAnsi="宋体"/>
                <w:szCs w:val="21"/>
              </w:rPr>
            </w:pPr>
            <w:r>
              <w:rPr>
                <w:rFonts w:hint="eastAsia" w:ascii="宋体" w:hAnsi="宋体"/>
                <w:szCs w:val="21"/>
              </w:rPr>
              <w:t>2.超薄壁型针管，并经过硅油处理，穿刺时阻力更小</w:t>
            </w:r>
          </w:p>
          <w:p>
            <w:pPr>
              <w:jc w:val="left"/>
              <w:rPr>
                <w:rFonts w:ascii="宋体" w:hAnsi="宋体"/>
                <w:szCs w:val="21"/>
              </w:rPr>
            </w:pPr>
            <w:r>
              <w:rPr>
                <w:rFonts w:hint="eastAsia" w:ascii="宋体" w:hAnsi="宋体"/>
                <w:szCs w:val="21"/>
              </w:rPr>
              <w:t>3.配有防针刺护套，有效防止误伤。</w:t>
            </w:r>
          </w:p>
          <w:p>
            <w:pPr>
              <w:jc w:val="left"/>
              <w:rPr>
                <w:rFonts w:ascii="宋体" w:hAnsi="宋体"/>
                <w:szCs w:val="21"/>
              </w:rPr>
            </w:pPr>
            <w:r>
              <w:rPr>
                <w:rFonts w:hint="eastAsia" w:ascii="宋体" w:hAnsi="宋体"/>
                <w:szCs w:val="21"/>
              </w:rPr>
              <w:t>4.灭菌方式：环氧乙烷灭菌。</w:t>
            </w:r>
          </w:p>
          <w:p>
            <w:pPr>
              <w:jc w:val="left"/>
              <w:rPr>
                <w:rFonts w:ascii="宋体" w:hAnsi="宋体"/>
                <w:szCs w:val="21"/>
              </w:rPr>
            </w:pPr>
            <w:r>
              <w:rPr>
                <w:rFonts w:hint="eastAsia" w:ascii="宋体" w:hAnsi="宋体"/>
                <w:szCs w:val="21"/>
              </w:rPr>
              <w:t>5.产品获得美国510K和欧盟CE认证</w:t>
            </w:r>
          </w:p>
        </w:tc>
        <w:tc>
          <w:tcPr>
            <w:tcW w:w="1559" w:type="dxa"/>
            <w:noWrap/>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675" w:type="dxa"/>
            <w:shd w:val="clear" w:color="auto" w:fill="auto"/>
            <w:noWrap/>
            <w:vAlign w:val="center"/>
          </w:tcPr>
          <w:p>
            <w:pPr>
              <w:jc w:val="center"/>
              <w:rPr>
                <w:rFonts w:ascii="宋体" w:hAnsi="宋体"/>
                <w:szCs w:val="21"/>
              </w:rPr>
            </w:pPr>
            <w:r>
              <w:rPr>
                <w:rFonts w:hint="eastAsia" w:ascii="宋体" w:hAnsi="宋体"/>
                <w:szCs w:val="21"/>
              </w:rPr>
              <w:t>3</w:t>
            </w:r>
          </w:p>
        </w:tc>
        <w:tc>
          <w:tcPr>
            <w:tcW w:w="2552" w:type="dxa"/>
            <w:shd w:val="clear" w:color="auto" w:fill="auto"/>
            <w:noWrap/>
            <w:vAlign w:val="center"/>
          </w:tcPr>
          <w:p>
            <w:pPr>
              <w:jc w:val="center"/>
              <w:rPr>
                <w:rFonts w:ascii="宋体" w:hAnsi="宋体"/>
                <w:szCs w:val="21"/>
              </w:rPr>
            </w:pPr>
            <w:r>
              <w:rPr>
                <w:rFonts w:hint="eastAsia" w:ascii="宋体" w:hAnsi="宋体"/>
                <w:szCs w:val="21"/>
              </w:rPr>
              <w:t>血液透析浓缩物</w:t>
            </w:r>
          </w:p>
          <w:p>
            <w:pPr>
              <w:jc w:val="center"/>
              <w:rPr>
                <w:rFonts w:ascii="宋体" w:hAnsi="宋体"/>
                <w:szCs w:val="21"/>
              </w:rPr>
            </w:pPr>
            <w:r>
              <w:rPr>
                <w:rFonts w:hint="eastAsia" w:ascii="宋体" w:hAnsi="宋体"/>
                <w:szCs w:val="21"/>
              </w:rPr>
              <w:t>（A 液）</w:t>
            </w:r>
          </w:p>
        </w:tc>
        <w:tc>
          <w:tcPr>
            <w:tcW w:w="3969" w:type="dxa"/>
            <w:noWrap/>
            <w:vAlign w:val="center"/>
          </w:tcPr>
          <w:p>
            <w:pPr>
              <w:rPr>
                <w:rFonts w:ascii="宋体" w:hAnsi="宋体"/>
                <w:szCs w:val="21"/>
              </w:rPr>
            </w:pPr>
            <w:r>
              <w:rPr>
                <w:rFonts w:hint="eastAsia" w:ascii="宋体" w:hAnsi="宋体"/>
                <w:szCs w:val="21"/>
              </w:rPr>
              <w:t>1、为减少透析治疗过程中不良反应，细菌内毒素小于0.25EU/ml，优于行业透析液标准；</w:t>
            </w:r>
          </w:p>
          <w:p>
            <w:pPr>
              <w:rPr>
                <w:rFonts w:ascii="宋体" w:hAnsi="宋体"/>
                <w:szCs w:val="21"/>
              </w:rPr>
            </w:pPr>
            <w:r>
              <w:rPr>
                <w:rFonts w:hint="eastAsia" w:ascii="宋体" w:hAnsi="宋体"/>
                <w:color w:val="000000" w:themeColor="text1"/>
                <w:szCs w:val="21"/>
              </w:rPr>
              <w:t>★</w:t>
            </w:r>
            <w:r>
              <w:rPr>
                <w:rFonts w:hint="eastAsia" w:ascii="宋体" w:hAnsi="宋体"/>
                <w:szCs w:val="21"/>
              </w:rPr>
              <w:t>2、能满足个性化透析需求（含钙离子1.25mmol/L、1.5mmol/L、1.75mmol/L，和钙离子1.5的浓度中钾离子分别为2mmol/L和3mmol/L的浓度A液），提供对应技术文件；</w:t>
            </w:r>
          </w:p>
          <w:p>
            <w:pPr>
              <w:rPr>
                <w:rFonts w:ascii="宋体" w:hAnsi="宋体"/>
                <w:szCs w:val="21"/>
              </w:rPr>
            </w:pPr>
            <w:r>
              <w:rPr>
                <w:rFonts w:hint="eastAsia" w:ascii="宋体" w:hAnsi="宋体"/>
                <w:szCs w:val="21"/>
              </w:rPr>
              <w:t>3、血液透析浓缩物的需氧菌总数应不大于100CFU/ml,霉菌和酵母菌总数应不大于10CFU/ml，大肠埃希菌应不得检出；</w:t>
            </w:r>
          </w:p>
          <w:p>
            <w:pPr>
              <w:rPr>
                <w:rFonts w:ascii="宋体" w:hAnsi="宋体"/>
                <w:szCs w:val="21"/>
              </w:rPr>
            </w:pPr>
            <w:r>
              <w:rPr>
                <w:rFonts w:hint="eastAsia" w:ascii="宋体" w:hAnsi="宋体"/>
                <w:szCs w:val="21"/>
              </w:rPr>
              <w:t>4、不溶性微粒状况：本品稀释为透析液后，扣除本底后微粒含量：≥10um微粒不大于12个/ml，≥25um的微粒不大于2个/ml；</w:t>
            </w:r>
          </w:p>
          <w:p>
            <w:pPr>
              <w:rPr>
                <w:rFonts w:ascii="宋体" w:hAnsi="宋体"/>
                <w:szCs w:val="21"/>
              </w:rPr>
            </w:pPr>
            <w:r>
              <w:rPr>
                <w:rFonts w:hint="eastAsia" w:ascii="宋体" w:hAnsi="宋体"/>
                <w:szCs w:val="21"/>
              </w:rPr>
              <w:t>5、采用透析级进口原材料；</w:t>
            </w:r>
            <w:r>
              <w:rPr>
                <w:rFonts w:hint="eastAsia" w:ascii="宋体" w:hAnsi="宋体"/>
                <w:color w:val="FF0000"/>
                <w:szCs w:val="21"/>
              </w:rPr>
              <w:t>（提供证明）。</w:t>
            </w:r>
          </w:p>
          <w:p>
            <w:pPr>
              <w:rPr>
                <w:rFonts w:ascii="宋体" w:hAnsi="宋体"/>
                <w:szCs w:val="21"/>
              </w:rPr>
            </w:pPr>
            <w:r>
              <w:rPr>
                <w:rFonts w:hint="eastAsia" w:ascii="宋体" w:hAnsi="宋体"/>
                <w:szCs w:val="21"/>
              </w:rPr>
              <w:t>6、高标准用水，采用双级反渗透+EDI+超滤制水；</w:t>
            </w:r>
          </w:p>
          <w:p>
            <w:pPr>
              <w:rPr>
                <w:rFonts w:ascii="宋体" w:hAnsi="宋体"/>
                <w:szCs w:val="21"/>
              </w:rPr>
            </w:pPr>
            <w:r>
              <w:rPr>
                <w:rFonts w:hint="eastAsia" w:ascii="宋体" w:hAnsi="宋体"/>
                <w:szCs w:val="21"/>
              </w:rPr>
              <w:t>7、本品通过ISO认证和CE认证；</w:t>
            </w:r>
          </w:p>
          <w:p>
            <w:pPr>
              <w:rPr>
                <w:rFonts w:ascii="宋体" w:hAnsi="宋体"/>
                <w:szCs w:val="21"/>
              </w:rPr>
            </w:pPr>
            <w:r>
              <w:rPr>
                <w:rFonts w:hint="eastAsia" w:ascii="宋体" w:hAnsi="宋体"/>
                <w:szCs w:val="21"/>
              </w:rPr>
              <w:t>8、A液每桶10L，均为二人份。</w:t>
            </w:r>
          </w:p>
          <w:p>
            <w:pPr>
              <w:rPr>
                <w:rFonts w:ascii="宋体" w:hAnsi="宋体"/>
                <w:szCs w:val="21"/>
              </w:rPr>
            </w:pPr>
          </w:p>
        </w:tc>
        <w:tc>
          <w:tcPr>
            <w:tcW w:w="1559" w:type="dxa"/>
            <w:noWrap/>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675" w:type="dxa"/>
            <w:shd w:val="clear" w:color="auto" w:fill="auto"/>
            <w:noWrap/>
            <w:vAlign w:val="center"/>
          </w:tcPr>
          <w:p>
            <w:pPr>
              <w:jc w:val="center"/>
              <w:rPr>
                <w:rFonts w:ascii="宋体" w:hAnsi="宋体"/>
                <w:szCs w:val="21"/>
              </w:rPr>
            </w:pPr>
            <w:r>
              <w:rPr>
                <w:rFonts w:hint="eastAsia" w:ascii="宋体" w:hAnsi="宋体"/>
                <w:szCs w:val="21"/>
              </w:rPr>
              <w:t>4</w:t>
            </w:r>
          </w:p>
        </w:tc>
        <w:tc>
          <w:tcPr>
            <w:tcW w:w="2552" w:type="dxa"/>
            <w:shd w:val="clear" w:color="auto" w:fill="auto"/>
            <w:noWrap/>
            <w:vAlign w:val="center"/>
          </w:tcPr>
          <w:p>
            <w:pPr>
              <w:jc w:val="center"/>
              <w:rPr>
                <w:rFonts w:ascii="宋体" w:hAnsi="宋体"/>
                <w:szCs w:val="21"/>
              </w:rPr>
            </w:pPr>
            <w:r>
              <w:rPr>
                <w:rFonts w:hint="eastAsia" w:ascii="宋体" w:hAnsi="宋体"/>
                <w:szCs w:val="21"/>
              </w:rPr>
              <w:t>B干粉袋、B干粉桶</w:t>
            </w:r>
          </w:p>
        </w:tc>
        <w:tc>
          <w:tcPr>
            <w:tcW w:w="3969" w:type="dxa"/>
            <w:noWrap/>
            <w:vAlign w:val="center"/>
          </w:tcPr>
          <w:p>
            <w:pPr>
              <w:jc w:val="left"/>
              <w:rPr>
                <w:rFonts w:ascii="宋体" w:hAnsi="宋体"/>
                <w:szCs w:val="21"/>
              </w:rPr>
            </w:pPr>
            <w:r>
              <w:rPr>
                <w:rFonts w:hint="eastAsia" w:ascii="宋体" w:hAnsi="宋体"/>
                <w:color w:val="000000" w:themeColor="text1"/>
                <w:szCs w:val="21"/>
              </w:rPr>
              <w:t>★</w:t>
            </w:r>
            <w:r>
              <w:rPr>
                <w:rFonts w:hint="eastAsia" w:ascii="宋体" w:hAnsi="宋体"/>
                <w:szCs w:val="21"/>
              </w:rPr>
              <w:t>1、干粉袋、干粉桶与A液为同一品牌。</w:t>
            </w:r>
          </w:p>
          <w:p>
            <w:pPr>
              <w:jc w:val="left"/>
              <w:rPr>
                <w:rFonts w:ascii="宋体" w:hAnsi="宋体"/>
                <w:color w:val="FF0000"/>
                <w:szCs w:val="21"/>
              </w:rPr>
            </w:pPr>
            <w:r>
              <w:rPr>
                <w:rFonts w:hint="eastAsia" w:ascii="宋体" w:hAnsi="宋体"/>
                <w:szCs w:val="21"/>
              </w:rPr>
              <w:t>2、规格：干粉桶650g-680g/支，</w:t>
            </w:r>
          </w:p>
          <w:p>
            <w:pPr>
              <w:jc w:val="left"/>
              <w:rPr>
                <w:rFonts w:ascii="宋体" w:hAnsi="宋体"/>
                <w:color w:val="000000" w:themeColor="text1"/>
                <w:szCs w:val="21"/>
              </w:rPr>
            </w:pPr>
            <w:r>
              <w:rPr>
                <w:rFonts w:hint="eastAsia" w:ascii="宋体" w:hAnsi="宋体"/>
                <w:color w:val="000000" w:themeColor="text1"/>
                <w:szCs w:val="21"/>
              </w:rPr>
              <w:t>3、1、为了减少透析治疗过程中不良反应，细菌内毒素小于0.125EU/ml，优于行业透析液标准；                                      ★4、采用进口透析专用级碳酸氢钠；</w:t>
            </w:r>
          </w:p>
          <w:p>
            <w:pPr>
              <w:jc w:val="left"/>
              <w:rPr>
                <w:rFonts w:ascii="宋体" w:hAnsi="宋体"/>
                <w:color w:val="000000" w:themeColor="text1"/>
                <w:szCs w:val="21"/>
              </w:rPr>
            </w:pPr>
            <w:r>
              <w:rPr>
                <w:rFonts w:hint="eastAsia" w:ascii="宋体" w:hAnsi="宋体"/>
                <w:color w:val="000000" w:themeColor="text1"/>
                <w:szCs w:val="21"/>
              </w:rPr>
              <w:t>5、本品通过ISO认证和CE认证；</w:t>
            </w:r>
          </w:p>
          <w:p>
            <w:pPr>
              <w:jc w:val="left"/>
              <w:rPr>
                <w:rFonts w:ascii="宋体" w:hAnsi="宋体"/>
                <w:color w:val="000000" w:themeColor="text1"/>
                <w:szCs w:val="21"/>
              </w:rPr>
            </w:pPr>
            <w:r>
              <w:rPr>
                <w:rFonts w:hint="eastAsia" w:ascii="宋体" w:hAnsi="宋体"/>
                <w:color w:val="000000" w:themeColor="text1"/>
                <w:szCs w:val="21"/>
              </w:rPr>
              <w:t>6、血液透析浓缩物的需氧菌总数应不大于100CFU/ml,霉菌和酵母菌总数应不大于10CFU/ml，大肠埃希菌应不得检出；</w:t>
            </w:r>
          </w:p>
          <w:p>
            <w:pPr>
              <w:jc w:val="left"/>
              <w:rPr>
                <w:rFonts w:ascii="宋体" w:hAnsi="宋体"/>
                <w:color w:val="FF0000"/>
                <w:szCs w:val="21"/>
              </w:rPr>
            </w:pPr>
            <w:r>
              <w:rPr>
                <w:rFonts w:hint="eastAsia" w:ascii="宋体" w:hAnsi="宋体"/>
                <w:color w:val="000000" w:themeColor="text1"/>
                <w:szCs w:val="21"/>
              </w:rPr>
              <w:t>7、不溶性微粒状况：本品稀释为透析液后，扣除本底后微粒含量：≥10um微粒不大于25个/ml，≥25um的微粒不大于3个/ml；</w:t>
            </w:r>
          </w:p>
        </w:tc>
        <w:tc>
          <w:tcPr>
            <w:tcW w:w="1559" w:type="dxa"/>
            <w:noWrap/>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675" w:type="dxa"/>
            <w:shd w:val="clear" w:color="auto" w:fill="auto"/>
            <w:noWrap/>
            <w:vAlign w:val="center"/>
          </w:tcPr>
          <w:p>
            <w:pPr>
              <w:jc w:val="center"/>
              <w:rPr>
                <w:rFonts w:ascii="宋体" w:hAnsi="宋体"/>
                <w:szCs w:val="21"/>
              </w:rPr>
            </w:pPr>
            <w:r>
              <w:rPr>
                <w:rFonts w:hint="eastAsia" w:ascii="宋体" w:hAnsi="宋体"/>
                <w:szCs w:val="21"/>
              </w:rPr>
              <w:t>5</w:t>
            </w:r>
          </w:p>
        </w:tc>
        <w:tc>
          <w:tcPr>
            <w:tcW w:w="2552" w:type="dxa"/>
            <w:shd w:val="clear" w:color="auto" w:fill="auto"/>
            <w:noWrap/>
            <w:vAlign w:val="center"/>
          </w:tcPr>
          <w:p>
            <w:pPr>
              <w:jc w:val="center"/>
              <w:rPr>
                <w:rFonts w:ascii="宋体" w:hAnsi="宋体"/>
                <w:szCs w:val="21"/>
              </w:rPr>
            </w:pPr>
            <w:r>
              <w:rPr>
                <w:rFonts w:hint="eastAsia" w:ascii="宋体" w:hAnsi="宋体"/>
                <w:szCs w:val="21"/>
              </w:rPr>
              <w:t>护理包</w:t>
            </w:r>
          </w:p>
        </w:tc>
        <w:tc>
          <w:tcPr>
            <w:tcW w:w="3969" w:type="dxa"/>
            <w:noWrap/>
            <w:vAlign w:val="center"/>
          </w:tcPr>
          <w:p>
            <w:pPr>
              <w:pStyle w:val="67"/>
              <w:numPr>
                <w:ilvl w:val="0"/>
                <w:numId w:val="3"/>
              </w:numPr>
              <w:ind w:firstLineChars="0"/>
              <w:jc w:val="left"/>
              <w:rPr>
                <w:rFonts w:ascii="宋体" w:hAnsi="宋体"/>
                <w:szCs w:val="21"/>
              </w:rPr>
            </w:pPr>
            <w:r>
              <w:rPr>
                <w:rFonts w:hint="eastAsia" w:ascii="宋体" w:hAnsi="宋体"/>
                <w:szCs w:val="21"/>
              </w:rPr>
              <w:t>配置：常规方盘1个、胶贴（5.4×14，每片3条）2片，干棉球（1克）4颗，碘伏棉球（10颗/袋）1袋、带包装检查手套1副、不带包装检查手套1副、纸复膜绿色治疗巾1条、创口贴2片。</w:t>
            </w:r>
          </w:p>
        </w:tc>
        <w:tc>
          <w:tcPr>
            <w:tcW w:w="1559" w:type="dxa"/>
            <w:noWrap/>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675" w:type="dxa"/>
            <w:shd w:val="clear" w:color="auto" w:fill="auto"/>
            <w:noWrap/>
            <w:vAlign w:val="center"/>
          </w:tcPr>
          <w:p>
            <w:pPr>
              <w:jc w:val="left"/>
              <w:rPr>
                <w:rFonts w:ascii="宋体" w:hAnsi="宋体"/>
                <w:color w:val="000000" w:themeColor="text1"/>
                <w:szCs w:val="21"/>
              </w:rPr>
            </w:pPr>
            <w:r>
              <w:rPr>
                <w:rFonts w:hint="eastAsia" w:ascii="宋体" w:hAnsi="宋体"/>
                <w:color w:val="000000" w:themeColor="text1"/>
                <w:szCs w:val="21"/>
              </w:rPr>
              <w:t>6</w:t>
            </w:r>
          </w:p>
        </w:tc>
        <w:tc>
          <w:tcPr>
            <w:tcW w:w="2552" w:type="dxa"/>
            <w:shd w:val="clear" w:color="auto" w:fill="auto"/>
            <w:noWrap/>
            <w:vAlign w:val="center"/>
          </w:tcPr>
          <w:p>
            <w:pPr>
              <w:jc w:val="left"/>
              <w:rPr>
                <w:rFonts w:ascii="宋体" w:hAnsi="宋体"/>
                <w:color w:val="000000" w:themeColor="text1"/>
                <w:szCs w:val="21"/>
              </w:rPr>
            </w:pPr>
            <w:r>
              <w:rPr>
                <w:rFonts w:ascii="宋体" w:hAnsi="宋体"/>
                <w:color w:val="000000" w:themeColor="text1"/>
                <w:szCs w:val="21"/>
              </w:rPr>
              <w:t>低通量透析器</w:t>
            </w:r>
            <w:r>
              <w:rPr>
                <w:rFonts w:hint="eastAsia" w:ascii="宋体" w:hAnsi="宋体"/>
                <w:color w:val="000000" w:themeColor="text1"/>
                <w:szCs w:val="21"/>
              </w:rPr>
              <w:t>：</w:t>
            </w:r>
            <w:r>
              <w:rPr>
                <w:rFonts w:ascii="宋体" w:hAnsi="宋体"/>
                <w:color w:val="000000" w:themeColor="text1"/>
                <w:szCs w:val="21"/>
              </w:rPr>
              <w:t>规格</w:t>
            </w:r>
            <w:r>
              <w:rPr>
                <w:rFonts w:hint="eastAsia" w:ascii="宋体" w:hAnsi="宋体"/>
                <w:color w:val="000000" w:themeColor="text1"/>
                <w:szCs w:val="21"/>
              </w:rPr>
              <w:t>1</w:t>
            </w:r>
          </w:p>
        </w:tc>
        <w:tc>
          <w:tcPr>
            <w:tcW w:w="3969" w:type="dxa"/>
            <w:noWrap/>
            <w:vAlign w:val="center"/>
          </w:tcPr>
          <w:p>
            <w:pPr>
              <w:jc w:val="left"/>
              <w:rPr>
                <w:rFonts w:ascii="宋体" w:hAnsi="宋体"/>
                <w:color w:val="000000" w:themeColor="text1"/>
                <w:szCs w:val="21"/>
              </w:rPr>
            </w:pPr>
            <w:r>
              <w:rPr>
                <w:rFonts w:hint="eastAsia" w:ascii="宋体" w:hAnsi="宋体"/>
                <w:color w:val="000000" w:themeColor="text1"/>
                <w:szCs w:val="21"/>
              </w:rPr>
              <w:t>★1：膜材料：聚砜膜纤维</w:t>
            </w:r>
          </w:p>
          <w:p>
            <w:pPr>
              <w:jc w:val="left"/>
              <w:rPr>
                <w:rFonts w:ascii="宋体" w:hAnsi="宋体"/>
                <w:color w:val="000000" w:themeColor="text1"/>
                <w:szCs w:val="21"/>
              </w:rPr>
            </w:pPr>
            <w:r>
              <w:rPr>
                <w:rFonts w:hint="eastAsia" w:ascii="宋体" w:hAnsi="宋体"/>
                <w:color w:val="000000" w:themeColor="text1"/>
                <w:szCs w:val="21"/>
              </w:rPr>
              <w:t>2：保存方式：干膜保存</w:t>
            </w:r>
          </w:p>
          <w:p>
            <w:pPr>
              <w:jc w:val="left"/>
              <w:rPr>
                <w:rFonts w:ascii="宋体" w:hAnsi="宋体"/>
                <w:color w:val="000000" w:themeColor="text1"/>
                <w:szCs w:val="21"/>
              </w:rPr>
            </w:pPr>
            <w:r>
              <w:rPr>
                <w:rFonts w:hint="eastAsia" w:ascii="宋体" w:hAnsi="宋体"/>
                <w:color w:val="000000" w:themeColor="text1"/>
                <w:szCs w:val="21"/>
              </w:rPr>
              <w:t>3：有效膜面积≥ 1.8㎡。</w:t>
            </w:r>
          </w:p>
          <w:p>
            <w:pPr>
              <w:jc w:val="left"/>
              <w:rPr>
                <w:rFonts w:ascii="宋体" w:hAnsi="宋体"/>
                <w:color w:val="000000" w:themeColor="text1"/>
                <w:szCs w:val="21"/>
              </w:rPr>
            </w:pPr>
            <w:r>
              <w:rPr>
                <w:rFonts w:hint="eastAsia" w:ascii="宋体" w:hAnsi="宋体"/>
                <w:color w:val="000000" w:themeColor="text1"/>
                <w:szCs w:val="21"/>
              </w:rPr>
              <w:t>★4：超滤系数：≥18ml/h.mmH</w:t>
            </w:r>
          </w:p>
          <w:p>
            <w:pPr>
              <w:jc w:val="left"/>
              <w:rPr>
                <w:rFonts w:ascii="宋体" w:hAnsi="宋体"/>
                <w:color w:val="000000" w:themeColor="text1"/>
                <w:szCs w:val="21"/>
              </w:rPr>
            </w:pPr>
            <w:r>
              <w:rPr>
                <w:rFonts w:hint="eastAsia" w:ascii="宋体" w:hAnsi="宋体"/>
                <w:color w:val="000000" w:themeColor="text1"/>
                <w:szCs w:val="21"/>
              </w:rPr>
              <w:t>清除率（测试条件：QB=200ml/min）</w:t>
            </w:r>
          </w:p>
          <w:p>
            <w:pPr>
              <w:jc w:val="left"/>
              <w:rPr>
                <w:rFonts w:ascii="宋体" w:hAnsi="宋体"/>
                <w:color w:val="000000" w:themeColor="text1"/>
                <w:szCs w:val="21"/>
              </w:rPr>
            </w:pPr>
            <w:r>
              <w:rPr>
                <w:rFonts w:hint="eastAsia" w:ascii="宋体" w:hAnsi="宋体"/>
                <w:color w:val="000000" w:themeColor="text1"/>
                <w:szCs w:val="21"/>
              </w:rPr>
              <w:t>5：尿素清除率≥190</w:t>
            </w:r>
          </w:p>
          <w:p>
            <w:pPr>
              <w:jc w:val="left"/>
              <w:rPr>
                <w:rFonts w:ascii="宋体" w:hAnsi="宋体"/>
                <w:color w:val="000000" w:themeColor="text1"/>
                <w:szCs w:val="21"/>
              </w:rPr>
            </w:pPr>
            <w:r>
              <w:rPr>
                <w:rFonts w:hint="eastAsia" w:ascii="宋体" w:hAnsi="宋体"/>
                <w:color w:val="000000" w:themeColor="text1"/>
                <w:szCs w:val="21"/>
              </w:rPr>
              <w:t>6：肌酐清除率:≥177</w:t>
            </w:r>
          </w:p>
          <w:p>
            <w:pPr>
              <w:jc w:val="left"/>
              <w:rPr>
                <w:rFonts w:ascii="宋体" w:hAnsi="宋体"/>
                <w:color w:val="000000" w:themeColor="text1"/>
                <w:szCs w:val="21"/>
              </w:rPr>
            </w:pPr>
            <w:r>
              <w:rPr>
                <w:rFonts w:hint="eastAsia" w:ascii="宋体" w:hAnsi="宋体"/>
                <w:color w:val="000000" w:themeColor="text1"/>
                <w:szCs w:val="21"/>
              </w:rPr>
              <w:t>7：磷酸盐清除率≥159</w:t>
            </w:r>
          </w:p>
          <w:p>
            <w:pPr>
              <w:jc w:val="left"/>
              <w:rPr>
                <w:rFonts w:ascii="宋体" w:hAnsi="宋体"/>
                <w:color w:val="000000" w:themeColor="text1"/>
                <w:szCs w:val="21"/>
              </w:rPr>
            </w:pPr>
            <w:r>
              <w:rPr>
                <w:rFonts w:hint="eastAsia" w:ascii="宋体" w:hAnsi="宋体"/>
                <w:color w:val="000000" w:themeColor="text1"/>
                <w:szCs w:val="21"/>
              </w:rPr>
              <w:t>8：维生素B12 清除率：≥106</w:t>
            </w:r>
          </w:p>
          <w:p>
            <w:pPr>
              <w:jc w:val="left"/>
              <w:rPr>
                <w:rFonts w:ascii="宋体" w:hAnsi="宋体"/>
                <w:color w:val="000000" w:themeColor="text1"/>
                <w:szCs w:val="21"/>
              </w:rPr>
            </w:pPr>
            <w:r>
              <w:rPr>
                <w:rFonts w:hint="eastAsia" w:ascii="宋体" w:hAnsi="宋体"/>
                <w:color w:val="000000" w:themeColor="text1"/>
                <w:szCs w:val="21"/>
              </w:rPr>
              <w:t>★11：灭菌方式：蒸汽消毒或电子束</w:t>
            </w:r>
          </w:p>
        </w:tc>
        <w:tc>
          <w:tcPr>
            <w:tcW w:w="1559" w:type="dxa"/>
            <w:noWrap/>
            <w:vAlign w:val="center"/>
          </w:tcPr>
          <w:p>
            <w:pPr>
              <w:jc w:val="left"/>
              <w:rPr>
                <w:rFonts w:ascii="宋体" w:hAnsi="宋体"/>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675" w:type="dxa"/>
            <w:shd w:val="clear" w:color="auto" w:fill="auto"/>
            <w:noWrap/>
            <w:vAlign w:val="center"/>
          </w:tcPr>
          <w:p>
            <w:pPr>
              <w:jc w:val="left"/>
              <w:rPr>
                <w:rFonts w:ascii="宋体" w:hAnsi="宋体"/>
                <w:color w:val="000000" w:themeColor="text1"/>
                <w:szCs w:val="21"/>
              </w:rPr>
            </w:pPr>
            <w:r>
              <w:rPr>
                <w:rFonts w:hint="eastAsia" w:ascii="宋体" w:hAnsi="宋体"/>
                <w:color w:val="000000" w:themeColor="text1"/>
                <w:szCs w:val="21"/>
              </w:rPr>
              <w:t>7</w:t>
            </w:r>
          </w:p>
        </w:tc>
        <w:tc>
          <w:tcPr>
            <w:tcW w:w="2552" w:type="dxa"/>
            <w:shd w:val="clear" w:color="auto" w:fill="auto"/>
            <w:noWrap/>
            <w:vAlign w:val="center"/>
          </w:tcPr>
          <w:p>
            <w:pPr>
              <w:jc w:val="left"/>
              <w:rPr>
                <w:rFonts w:ascii="宋体" w:hAnsi="宋体"/>
                <w:color w:val="000000" w:themeColor="text1"/>
                <w:szCs w:val="21"/>
              </w:rPr>
            </w:pPr>
            <w:r>
              <w:rPr>
                <w:rFonts w:ascii="宋体" w:hAnsi="宋体"/>
                <w:color w:val="000000" w:themeColor="text1"/>
                <w:szCs w:val="21"/>
              </w:rPr>
              <w:t>低通通透析器</w:t>
            </w:r>
            <w:r>
              <w:rPr>
                <w:rFonts w:hint="eastAsia" w:ascii="宋体" w:hAnsi="宋体"/>
                <w:color w:val="000000" w:themeColor="text1"/>
                <w:szCs w:val="21"/>
              </w:rPr>
              <w:t>：</w:t>
            </w:r>
            <w:r>
              <w:rPr>
                <w:rFonts w:ascii="宋体" w:hAnsi="宋体"/>
                <w:color w:val="000000" w:themeColor="text1"/>
                <w:szCs w:val="21"/>
              </w:rPr>
              <w:t>规格</w:t>
            </w:r>
            <w:r>
              <w:rPr>
                <w:rFonts w:hint="eastAsia" w:ascii="宋体" w:hAnsi="宋体"/>
                <w:color w:val="000000" w:themeColor="text1"/>
                <w:szCs w:val="21"/>
              </w:rPr>
              <w:t>2</w:t>
            </w:r>
          </w:p>
        </w:tc>
        <w:tc>
          <w:tcPr>
            <w:tcW w:w="3969" w:type="dxa"/>
            <w:noWrap/>
            <w:vAlign w:val="center"/>
          </w:tcPr>
          <w:p>
            <w:pPr>
              <w:jc w:val="left"/>
              <w:rPr>
                <w:rFonts w:ascii="宋体" w:hAnsi="宋体"/>
                <w:color w:val="000000" w:themeColor="text1"/>
                <w:szCs w:val="21"/>
              </w:rPr>
            </w:pPr>
            <w:r>
              <w:rPr>
                <w:rFonts w:hint="eastAsia" w:ascii="宋体" w:hAnsi="宋体"/>
                <w:color w:val="000000" w:themeColor="text1"/>
                <w:szCs w:val="21"/>
              </w:rPr>
              <w:t>★1：膜材料：聚砜膜纤维</w:t>
            </w:r>
          </w:p>
          <w:p>
            <w:pPr>
              <w:jc w:val="left"/>
              <w:rPr>
                <w:rFonts w:ascii="宋体" w:hAnsi="宋体"/>
                <w:color w:val="000000" w:themeColor="text1"/>
                <w:szCs w:val="21"/>
              </w:rPr>
            </w:pPr>
            <w:r>
              <w:rPr>
                <w:rFonts w:hint="eastAsia" w:ascii="宋体" w:hAnsi="宋体"/>
                <w:color w:val="000000" w:themeColor="text1"/>
                <w:szCs w:val="21"/>
              </w:rPr>
              <w:t>2：保存方式：干膜保存</w:t>
            </w:r>
          </w:p>
          <w:p>
            <w:pPr>
              <w:jc w:val="left"/>
              <w:rPr>
                <w:rFonts w:ascii="宋体" w:hAnsi="宋体"/>
                <w:color w:val="000000" w:themeColor="text1"/>
                <w:szCs w:val="21"/>
              </w:rPr>
            </w:pPr>
            <w:r>
              <w:rPr>
                <w:rFonts w:hint="eastAsia" w:ascii="宋体" w:hAnsi="宋体"/>
                <w:color w:val="000000" w:themeColor="text1"/>
                <w:szCs w:val="21"/>
              </w:rPr>
              <w:t>3：有效膜面积≥ 1.6㎡。</w:t>
            </w:r>
          </w:p>
          <w:p>
            <w:pPr>
              <w:jc w:val="left"/>
              <w:rPr>
                <w:rFonts w:ascii="宋体" w:hAnsi="宋体"/>
                <w:color w:val="000000" w:themeColor="text1"/>
                <w:szCs w:val="21"/>
              </w:rPr>
            </w:pPr>
            <w:r>
              <w:rPr>
                <w:rFonts w:hint="eastAsia" w:ascii="宋体" w:hAnsi="宋体"/>
                <w:color w:val="000000" w:themeColor="text1"/>
                <w:szCs w:val="21"/>
              </w:rPr>
              <w:t>★4：超滤系数：≥16ml/h.mmH</w:t>
            </w:r>
          </w:p>
          <w:p>
            <w:pPr>
              <w:jc w:val="left"/>
              <w:rPr>
                <w:rFonts w:ascii="宋体" w:hAnsi="宋体"/>
                <w:color w:val="000000" w:themeColor="text1"/>
                <w:szCs w:val="21"/>
              </w:rPr>
            </w:pPr>
            <w:r>
              <w:rPr>
                <w:rFonts w:hint="eastAsia" w:ascii="宋体" w:hAnsi="宋体"/>
                <w:color w:val="000000" w:themeColor="text1"/>
                <w:szCs w:val="21"/>
              </w:rPr>
              <w:t>清除率（测试条件：QB=200ml/min）</w:t>
            </w:r>
          </w:p>
          <w:p>
            <w:pPr>
              <w:jc w:val="left"/>
              <w:rPr>
                <w:rFonts w:ascii="宋体" w:hAnsi="宋体"/>
                <w:color w:val="000000" w:themeColor="text1"/>
                <w:szCs w:val="21"/>
              </w:rPr>
            </w:pPr>
            <w:r>
              <w:rPr>
                <w:rFonts w:hint="eastAsia" w:ascii="宋体" w:hAnsi="宋体"/>
                <w:color w:val="000000" w:themeColor="text1"/>
                <w:szCs w:val="21"/>
              </w:rPr>
              <w:t>5：尿素清除率≥188</w:t>
            </w:r>
          </w:p>
          <w:p>
            <w:pPr>
              <w:jc w:val="left"/>
              <w:rPr>
                <w:rFonts w:ascii="宋体" w:hAnsi="宋体"/>
                <w:color w:val="000000" w:themeColor="text1"/>
                <w:szCs w:val="21"/>
              </w:rPr>
            </w:pPr>
            <w:r>
              <w:rPr>
                <w:rFonts w:hint="eastAsia" w:ascii="宋体" w:hAnsi="宋体"/>
                <w:color w:val="000000" w:themeColor="text1"/>
                <w:szCs w:val="21"/>
              </w:rPr>
              <w:t>6：肌酐清除率:≥175</w:t>
            </w:r>
          </w:p>
          <w:p>
            <w:pPr>
              <w:jc w:val="left"/>
              <w:rPr>
                <w:rFonts w:ascii="宋体" w:hAnsi="宋体"/>
                <w:color w:val="000000" w:themeColor="text1"/>
                <w:szCs w:val="21"/>
              </w:rPr>
            </w:pPr>
            <w:r>
              <w:rPr>
                <w:rFonts w:hint="eastAsia" w:ascii="宋体" w:hAnsi="宋体"/>
                <w:color w:val="000000" w:themeColor="text1"/>
                <w:szCs w:val="21"/>
              </w:rPr>
              <w:t>7：磷酸盐清除率≥155</w:t>
            </w:r>
          </w:p>
          <w:p>
            <w:pPr>
              <w:jc w:val="left"/>
              <w:rPr>
                <w:rFonts w:ascii="宋体" w:hAnsi="宋体"/>
                <w:color w:val="000000" w:themeColor="text1"/>
                <w:szCs w:val="21"/>
              </w:rPr>
            </w:pPr>
            <w:r>
              <w:rPr>
                <w:rFonts w:hint="eastAsia" w:ascii="宋体" w:hAnsi="宋体"/>
                <w:color w:val="000000" w:themeColor="text1"/>
                <w:szCs w:val="21"/>
              </w:rPr>
              <w:t>8：维生素B12 清除率：≥102</w:t>
            </w:r>
          </w:p>
          <w:p>
            <w:pPr>
              <w:jc w:val="left"/>
              <w:rPr>
                <w:rFonts w:ascii="宋体" w:hAnsi="宋体"/>
                <w:color w:val="000000" w:themeColor="text1"/>
                <w:szCs w:val="21"/>
              </w:rPr>
            </w:pPr>
            <w:r>
              <w:rPr>
                <w:rFonts w:hint="eastAsia" w:ascii="宋体" w:hAnsi="宋体"/>
                <w:color w:val="000000" w:themeColor="text1"/>
                <w:szCs w:val="21"/>
              </w:rPr>
              <w:t>★11：灭菌方式：蒸汽消毒或电子束</w:t>
            </w:r>
          </w:p>
        </w:tc>
        <w:tc>
          <w:tcPr>
            <w:tcW w:w="1559" w:type="dxa"/>
            <w:noWrap/>
            <w:vAlign w:val="center"/>
          </w:tcPr>
          <w:p>
            <w:pPr>
              <w:jc w:val="left"/>
              <w:rPr>
                <w:rFonts w:ascii="宋体" w:hAnsi="宋体"/>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675" w:type="dxa"/>
            <w:shd w:val="clear" w:color="auto" w:fill="auto"/>
            <w:noWrap/>
            <w:vAlign w:val="center"/>
          </w:tcPr>
          <w:p>
            <w:pPr>
              <w:jc w:val="left"/>
              <w:rPr>
                <w:rFonts w:ascii="宋体" w:hAnsi="宋体"/>
                <w:color w:val="000000" w:themeColor="text1"/>
                <w:szCs w:val="21"/>
              </w:rPr>
            </w:pPr>
            <w:r>
              <w:rPr>
                <w:rFonts w:hint="eastAsia" w:ascii="宋体" w:hAnsi="宋体"/>
                <w:color w:val="000000" w:themeColor="text1"/>
                <w:szCs w:val="21"/>
              </w:rPr>
              <w:t>8</w:t>
            </w:r>
          </w:p>
        </w:tc>
        <w:tc>
          <w:tcPr>
            <w:tcW w:w="2552" w:type="dxa"/>
            <w:shd w:val="clear" w:color="auto" w:fill="auto"/>
            <w:noWrap/>
            <w:vAlign w:val="center"/>
          </w:tcPr>
          <w:p>
            <w:pPr>
              <w:jc w:val="left"/>
              <w:rPr>
                <w:rFonts w:ascii="宋体" w:hAnsi="宋体"/>
                <w:color w:val="000000" w:themeColor="text1"/>
                <w:szCs w:val="21"/>
              </w:rPr>
            </w:pPr>
            <w:r>
              <w:rPr>
                <w:rFonts w:ascii="宋体" w:hAnsi="宋体"/>
                <w:color w:val="000000" w:themeColor="text1"/>
                <w:szCs w:val="21"/>
              </w:rPr>
              <w:t>高通量透析器</w:t>
            </w:r>
          </w:p>
        </w:tc>
        <w:tc>
          <w:tcPr>
            <w:tcW w:w="3969" w:type="dxa"/>
            <w:noWrap/>
            <w:vAlign w:val="center"/>
          </w:tcPr>
          <w:p>
            <w:pPr>
              <w:jc w:val="left"/>
              <w:rPr>
                <w:rFonts w:ascii="宋体" w:hAnsi="宋体"/>
                <w:color w:val="000000" w:themeColor="text1"/>
                <w:szCs w:val="21"/>
              </w:rPr>
            </w:pPr>
            <w:r>
              <w:rPr>
                <w:rFonts w:hint="eastAsia" w:ascii="宋体" w:hAnsi="宋体"/>
                <w:color w:val="000000" w:themeColor="text1"/>
                <w:szCs w:val="21"/>
              </w:rPr>
              <w:t>★1：膜材料：聚砜膜纤维</w:t>
            </w:r>
          </w:p>
          <w:p>
            <w:pPr>
              <w:jc w:val="left"/>
              <w:rPr>
                <w:rFonts w:ascii="宋体" w:hAnsi="宋体"/>
                <w:color w:val="000000" w:themeColor="text1"/>
                <w:szCs w:val="21"/>
              </w:rPr>
            </w:pPr>
            <w:r>
              <w:rPr>
                <w:rFonts w:hint="eastAsia" w:ascii="宋体" w:hAnsi="宋体"/>
                <w:color w:val="000000" w:themeColor="text1"/>
                <w:szCs w:val="21"/>
              </w:rPr>
              <w:t>2：保存方式：干膜保存</w:t>
            </w:r>
          </w:p>
          <w:p>
            <w:pPr>
              <w:jc w:val="left"/>
              <w:rPr>
                <w:rFonts w:ascii="宋体" w:hAnsi="宋体"/>
                <w:color w:val="000000" w:themeColor="text1"/>
                <w:szCs w:val="21"/>
              </w:rPr>
            </w:pPr>
            <w:r>
              <w:rPr>
                <w:rFonts w:hint="eastAsia" w:ascii="宋体" w:hAnsi="宋体"/>
                <w:color w:val="000000" w:themeColor="text1"/>
                <w:szCs w:val="21"/>
              </w:rPr>
              <w:t>3：有效膜面积≥ 1.6㎡。</w:t>
            </w:r>
          </w:p>
          <w:p>
            <w:pPr>
              <w:jc w:val="left"/>
              <w:rPr>
                <w:rFonts w:ascii="宋体" w:hAnsi="宋体"/>
                <w:color w:val="000000" w:themeColor="text1"/>
                <w:szCs w:val="21"/>
              </w:rPr>
            </w:pPr>
            <w:r>
              <w:rPr>
                <w:rFonts w:hint="eastAsia" w:ascii="宋体" w:hAnsi="宋体"/>
                <w:color w:val="000000" w:themeColor="text1"/>
                <w:szCs w:val="21"/>
              </w:rPr>
              <w:t>★4：超滤系数：≥55ml/h.mmH</w:t>
            </w:r>
          </w:p>
          <w:p>
            <w:pPr>
              <w:jc w:val="left"/>
              <w:rPr>
                <w:rFonts w:ascii="宋体" w:hAnsi="宋体"/>
                <w:color w:val="000000" w:themeColor="text1"/>
                <w:szCs w:val="21"/>
              </w:rPr>
            </w:pPr>
            <w:r>
              <w:rPr>
                <w:rFonts w:hint="eastAsia" w:ascii="宋体" w:hAnsi="宋体"/>
                <w:color w:val="000000" w:themeColor="text1"/>
                <w:szCs w:val="21"/>
              </w:rPr>
              <w:t>清除率（测试条件：QB=200ml/min）</w:t>
            </w:r>
          </w:p>
          <w:p>
            <w:pPr>
              <w:jc w:val="left"/>
              <w:rPr>
                <w:rFonts w:ascii="宋体" w:hAnsi="宋体"/>
                <w:color w:val="000000" w:themeColor="text1"/>
                <w:szCs w:val="21"/>
              </w:rPr>
            </w:pPr>
            <w:r>
              <w:rPr>
                <w:rFonts w:hint="eastAsia" w:ascii="宋体" w:hAnsi="宋体"/>
                <w:color w:val="000000" w:themeColor="text1"/>
                <w:szCs w:val="21"/>
              </w:rPr>
              <w:t>5：尿素清除率≥195</w:t>
            </w:r>
          </w:p>
          <w:p>
            <w:pPr>
              <w:jc w:val="left"/>
              <w:rPr>
                <w:rFonts w:ascii="宋体" w:hAnsi="宋体"/>
                <w:color w:val="000000" w:themeColor="text1"/>
                <w:szCs w:val="21"/>
              </w:rPr>
            </w:pPr>
            <w:r>
              <w:rPr>
                <w:rFonts w:hint="eastAsia" w:ascii="宋体" w:hAnsi="宋体"/>
                <w:color w:val="000000" w:themeColor="text1"/>
                <w:szCs w:val="21"/>
              </w:rPr>
              <w:t>6：肌酐清除率:≥191</w:t>
            </w:r>
          </w:p>
          <w:p>
            <w:pPr>
              <w:jc w:val="left"/>
              <w:rPr>
                <w:rFonts w:ascii="宋体" w:hAnsi="宋体"/>
                <w:color w:val="000000" w:themeColor="text1"/>
                <w:szCs w:val="21"/>
              </w:rPr>
            </w:pPr>
            <w:r>
              <w:rPr>
                <w:rFonts w:hint="eastAsia" w:ascii="宋体" w:hAnsi="宋体"/>
                <w:color w:val="000000" w:themeColor="text1"/>
                <w:szCs w:val="21"/>
              </w:rPr>
              <w:t>7：磷酸盐清除率≥188</w:t>
            </w:r>
          </w:p>
          <w:p>
            <w:pPr>
              <w:jc w:val="left"/>
              <w:rPr>
                <w:rFonts w:ascii="宋体" w:hAnsi="宋体"/>
                <w:color w:val="000000" w:themeColor="text1"/>
                <w:szCs w:val="21"/>
              </w:rPr>
            </w:pPr>
            <w:r>
              <w:rPr>
                <w:rFonts w:hint="eastAsia" w:ascii="宋体" w:hAnsi="宋体"/>
                <w:color w:val="000000" w:themeColor="text1"/>
                <w:szCs w:val="21"/>
              </w:rPr>
              <w:t>8：维生素B12 清除率：≥119</w:t>
            </w:r>
          </w:p>
          <w:p>
            <w:pPr>
              <w:jc w:val="left"/>
              <w:rPr>
                <w:rFonts w:ascii="宋体" w:hAnsi="宋体"/>
                <w:color w:val="000000" w:themeColor="text1"/>
                <w:szCs w:val="21"/>
              </w:rPr>
            </w:pPr>
            <w:r>
              <w:rPr>
                <w:rFonts w:hint="eastAsia" w:ascii="宋体" w:hAnsi="宋体"/>
                <w:color w:val="000000" w:themeColor="text1"/>
                <w:szCs w:val="21"/>
              </w:rPr>
              <w:t>★11：灭菌方式：蒸汽消毒或电子束</w:t>
            </w:r>
          </w:p>
        </w:tc>
        <w:tc>
          <w:tcPr>
            <w:tcW w:w="1559" w:type="dxa"/>
            <w:noWrap/>
            <w:vAlign w:val="center"/>
          </w:tcPr>
          <w:p>
            <w:pPr>
              <w:jc w:val="left"/>
              <w:rPr>
                <w:rFonts w:ascii="宋体" w:hAnsi="宋体"/>
                <w:color w:val="000000" w:themeColor="text1"/>
                <w:szCs w:val="21"/>
              </w:rPr>
            </w:pPr>
          </w:p>
        </w:tc>
      </w:tr>
    </w:tbl>
    <w:p>
      <w:pPr>
        <w:jc w:val="left"/>
        <w:rPr>
          <w:rFonts w:ascii="宋体" w:hAnsi="宋体"/>
          <w:color w:val="000000" w:themeColor="text1"/>
          <w:szCs w:val="21"/>
        </w:rPr>
      </w:pPr>
    </w:p>
    <w:p>
      <w:pPr>
        <w:jc w:val="left"/>
        <w:rPr>
          <w:rFonts w:ascii="宋体" w:hAnsi="宋体"/>
          <w:color w:val="000000" w:themeColor="text1"/>
          <w:szCs w:val="21"/>
        </w:rPr>
      </w:pPr>
      <w:r>
        <w:rPr>
          <w:rFonts w:hint="eastAsia" w:ascii="宋体" w:hAnsi="宋体"/>
          <w:color w:val="000000" w:themeColor="text1"/>
          <w:szCs w:val="21"/>
        </w:rPr>
        <w:t>说明：</w:t>
      </w:r>
    </w:p>
    <w:p>
      <w:pPr>
        <w:jc w:val="left"/>
        <w:rPr>
          <w:rFonts w:ascii="宋体" w:hAnsi="宋体"/>
          <w:color w:val="000000" w:themeColor="text1"/>
          <w:szCs w:val="21"/>
        </w:rPr>
      </w:pPr>
      <w:r>
        <w:rPr>
          <w:rFonts w:ascii="宋体" w:hAnsi="宋体"/>
          <w:color w:val="000000" w:themeColor="text1"/>
          <w:szCs w:val="21"/>
        </w:rPr>
        <w:t>1</w:t>
      </w:r>
      <w:r>
        <w:rPr>
          <w:rFonts w:hint="eastAsia" w:ascii="宋体" w:hAnsi="宋体"/>
          <w:color w:val="000000" w:themeColor="text1"/>
          <w:szCs w:val="21"/>
        </w:rPr>
        <w:t>、投标人的投标文件必须标明所供货物的品牌与参数，保证原厂正品供货，提供相关证明资料等；</w:t>
      </w:r>
    </w:p>
    <w:p>
      <w:pPr>
        <w:jc w:val="left"/>
        <w:rPr>
          <w:rFonts w:ascii="宋体" w:hAnsi="宋体"/>
          <w:color w:val="000000" w:themeColor="text1"/>
          <w:szCs w:val="21"/>
        </w:rPr>
      </w:pPr>
      <w:r>
        <w:rPr>
          <w:rFonts w:ascii="宋体" w:hAnsi="宋体"/>
          <w:color w:val="000000" w:themeColor="text1"/>
          <w:szCs w:val="21"/>
        </w:rPr>
        <w:t>2</w:t>
      </w:r>
      <w:r>
        <w:rPr>
          <w:rFonts w:hint="eastAsia" w:ascii="宋体" w:hAnsi="宋体"/>
          <w:color w:val="000000" w:themeColor="text1"/>
          <w:szCs w:val="21"/>
        </w:rPr>
        <w:t>、投标人须承诺所有中标产品必须严格执行两票制和安徽省医药集中采购中心平台配送关系落实执行网采流程单，提供（投标人承诺函）加盖投标人公章；</w:t>
      </w:r>
      <w:r>
        <w:rPr>
          <w:rFonts w:ascii="宋体" w:hAnsi="宋体"/>
          <w:color w:val="000000" w:themeColor="text1"/>
          <w:szCs w:val="21"/>
        </w:rPr>
        <w:t xml:space="preserve"> </w:t>
      </w:r>
    </w:p>
    <w:p>
      <w:pPr>
        <w:jc w:val="left"/>
        <w:rPr>
          <w:rFonts w:ascii="宋体" w:hAnsi="宋体"/>
          <w:color w:val="000000" w:themeColor="text1"/>
          <w:szCs w:val="21"/>
        </w:rPr>
      </w:pPr>
      <w:r>
        <w:rPr>
          <w:rFonts w:ascii="宋体" w:hAnsi="宋体"/>
          <w:color w:val="000000" w:themeColor="text1"/>
          <w:szCs w:val="21"/>
        </w:rPr>
        <w:t>3</w:t>
      </w:r>
      <w:r>
        <w:rPr>
          <w:rFonts w:hint="eastAsia" w:ascii="宋体" w:hAnsi="宋体"/>
          <w:color w:val="000000" w:themeColor="text1"/>
          <w:szCs w:val="21"/>
        </w:rPr>
        <w:t>、“各规格、各型号”均指在安徽省医药集中采购中心平台上（如在平台上）公布的及投标人所供品牌下所有的各产品所有规格、型号；</w:t>
      </w:r>
    </w:p>
    <w:p>
      <w:pPr>
        <w:jc w:val="left"/>
        <w:rPr>
          <w:rFonts w:ascii="宋体" w:hAnsi="宋体"/>
          <w:color w:val="000000" w:themeColor="text1"/>
          <w:szCs w:val="21"/>
        </w:rPr>
      </w:pPr>
      <w:r>
        <w:rPr>
          <w:rFonts w:hint="eastAsia" w:ascii="宋体" w:hAnsi="宋体"/>
          <w:color w:val="000000" w:themeColor="text1"/>
          <w:szCs w:val="21"/>
        </w:rPr>
        <w:t>4、透析液、B干粉、血路管、穿刺针要求在安徽省医药集中采购中心平台上有限价的产品不接受备案交易产品报价；</w:t>
      </w:r>
    </w:p>
    <w:p>
      <w:pPr>
        <w:jc w:val="left"/>
        <w:rPr>
          <w:rFonts w:ascii="宋体" w:hAnsi="宋体"/>
          <w:color w:val="000000" w:themeColor="text1"/>
          <w:szCs w:val="21"/>
        </w:rPr>
      </w:pPr>
      <w:r>
        <w:rPr>
          <w:rFonts w:hint="eastAsia" w:ascii="宋体" w:hAnsi="宋体"/>
          <w:color w:val="000000" w:themeColor="text1"/>
          <w:szCs w:val="21"/>
        </w:rPr>
        <w:t xml:space="preserve">5、低通量透析器、高通量透析器均必须为安徽省带量采购中标产品提供价格遴选。       </w:t>
      </w:r>
    </w:p>
    <w:p>
      <w:pPr>
        <w:jc w:val="left"/>
        <w:rPr>
          <w:rFonts w:ascii="宋体" w:hAnsi="宋体"/>
          <w:color w:val="000000" w:themeColor="text1"/>
          <w:szCs w:val="21"/>
        </w:rPr>
      </w:pPr>
      <w:r>
        <w:rPr>
          <w:rFonts w:hint="eastAsia" w:ascii="宋体" w:hAnsi="宋体"/>
          <w:color w:val="000000" w:themeColor="text1"/>
          <w:szCs w:val="21"/>
        </w:rPr>
        <w:t xml:space="preserve"> 6、无条件执行相关文件精神，在配送合同（协议）有效期内，如果政策改变，院方有权对供应货物的价格、供货范围进行调整，甚至解除合同（协议）。</w:t>
      </w:r>
    </w:p>
    <w:p>
      <w:pPr>
        <w:jc w:val="center"/>
        <w:rPr>
          <w:rFonts w:hint="eastAsia"/>
        </w:rPr>
      </w:pPr>
    </w:p>
    <w:tbl>
      <w:tblPr>
        <w:tblStyle w:val="28"/>
        <w:tblpPr w:leftFromText="180" w:rightFromText="180" w:vertAnchor="text" w:horzAnchor="margin" w:tblpXSpec="center" w:tblpY="462"/>
        <w:tblW w:w="4997"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4"/>
        <w:gridCol w:w="3594"/>
        <w:gridCol w:w="1256"/>
        <w:gridCol w:w="1617"/>
        <w:gridCol w:w="23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442" w:type="pct"/>
            <w:noWrap/>
            <w:vAlign w:val="center"/>
          </w:tcPr>
          <w:p>
            <w:pPr>
              <w:jc w:val="left"/>
              <w:rPr>
                <w:rFonts w:ascii="宋体" w:hAnsi="宋体"/>
                <w:color w:val="000000" w:themeColor="text1"/>
                <w:szCs w:val="21"/>
              </w:rPr>
            </w:pPr>
            <w:r>
              <w:rPr>
                <w:rFonts w:hint="eastAsia" w:ascii="宋体" w:hAnsi="宋体"/>
                <w:color w:val="000000" w:themeColor="text1"/>
                <w:szCs w:val="21"/>
              </w:rPr>
              <w:t>序号</w:t>
            </w:r>
          </w:p>
        </w:tc>
        <w:tc>
          <w:tcPr>
            <w:tcW w:w="1860" w:type="pct"/>
            <w:noWrap/>
            <w:vAlign w:val="center"/>
          </w:tcPr>
          <w:p>
            <w:pPr>
              <w:jc w:val="left"/>
              <w:rPr>
                <w:rFonts w:ascii="宋体" w:hAnsi="宋体"/>
                <w:color w:val="000000" w:themeColor="text1"/>
                <w:szCs w:val="21"/>
              </w:rPr>
            </w:pPr>
            <w:r>
              <w:rPr>
                <w:rFonts w:hint="eastAsia" w:ascii="宋体" w:hAnsi="宋体"/>
                <w:color w:val="000000" w:themeColor="text1"/>
                <w:szCs w:val="21"/>
              </w:rPr>
              <w:t>产品名称</w:t>
            </w:r>
          </w:p>
        </w:tc>
        <w:tc>
          <w:tcPr>
            <w:tcW w:w="650" w:type="pct"/>
            <w:noWrap/>
            <w:vAlign w:val="center"/>
          </w:tcPr>
          <w:p>
            <w:pPr>
              <w:jc w:val="left"/>
              <w:rPr>
                <w:rFonts w:ascii="宋体" w:hAnsi="宋体"/>
                <w:color w:val="000000" w:themeColor="text1"/>
                <w:szCs w:val="21"/>
              </w:rPr>
            </w:pPr>
            <w:r>
              <w:rPr>
                <w:rFonts w:hint="eastAsia" w:ascii="宋体" w:hAnsi="宋体"/>
                <w:color w:val="000000" w:themeColor="text1"/>
                <w:szCs w:val="21"/>
              </w:rPr>
              <w:t>数量</w:t>
            </w:r>
          </w:p>
        </w:tc>
        <w:tc>
          <w:tcPr>
            <w:tcW w:w="837" w:type="pct"/>
          </w:tcPr>
          <w:p>
            <w:pPr>
              <w:jc w:val="left"/>
              <w:rPr>
                <w:rFonts w:ascii="宋体" w:hAnsi="宋体"/>
                <w:color w:val="000000" w:themeColor="text1"/>
                <w:szCs w:val="21"/>
              </w:rPr>
            </w:pPr>
          </w:p>
          <w:p>
            <w:pPr>
              <w:jc w:val="left"/>
              <w:rPr>
                <w:rFonts w:ascii="宋体" w:hAnsi="宋体"/>
                <w:color w:val="000000" w:themeColor="text1"/>
                <w:szCs w:val="21"/>
              </w:rPr>
            </w:pPr>
            <w:r>
              <w:rPr>
                <w:rFonts w:hint="eastAsia" w:ascii="宋体" w:hAnsi="宋体"/>
                <w:color w:val="000000" w:themeColor="text1"/>
                <w:szCs w:val="21"/>
              </w:rPr>
              <w:t>流水号</w:t>
            </w:r>
          </w:p>
        </w:tc>
        <w:tc>
          <w:tcPr>
            <w:tcW w:w="1208" w:type="pct"/>
            <w:noWrap/>
            <w:vAlign w:val="center"/>
          </w:tcPr>
          <w:p>
            <w:pPr>
              <w:jc w:val="both"/>
              <w:rPr>
                <w:rFonts w:hint="default" w:eastAsia="宋体"/>
                <w:lang w:val="en-US" w:eastAsia="zh-CN"/>
              </w:rPr>
            </w:pPr>
            <w:r>
              <w:rPr>
                <w:rFonts w:hint="eastAsia" w:ascii="宋体" w:hAnsi="宋体"/>
                <w:color w:val="000000" w:themeColor="text1"/>
                <w:szCs w:val="21"/>
                <w:lang w:val="en-US" w:eastAsia="zh-CN"/>
              </w:rPr>
              <w:t>最高投标限价单价</w:t>
            </w:r>
          </w:p>
          <w:p>
            <w:pPr>
              <w:jc w:val="left"/>
              <w:rPr>
                <w:rFonts w:ascii="宋体" w:hAnsi="宋体"/>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4" w:hRule="atLeast"/>
        </w:trPr>
        <w:tc>
          <w:tcPr>
            <w:tcW w:w="442" w:type="pct"/>
            <w:shd w:val="clear" w:color="auto" w:fill="auto"/>
            <w:noWrap/>
            <w:vAlign w:val="center"/>
          </w:tcPr>
          <w:p>
            <w:pPr>
              <w:jc w:val="left"/>
              <w:rPr>
                <w:rFonts w:ascii="宋体" w:hAnsi="宋体"/>
                <w:color w:val="000000" w:themeColor="text1"/>
                <w:szCs w:val="21"/>
              </w:rPr>
            </w:pPr>
            <w:r>
              <w:rPr>
                <w:rFonts w:hint="eastAsia" w:ascii="宋体" w:hAnsi="宋体"/>
                <w:color w:val="000000" w:themeColor="text1"/>
                <w:szCs w:val="21"/>
              </w:rPr>
              <w:t>1</w:t>
            </w:r>
          </w:p>
        </w:tc>
        <w:tc>
          <w:tcPr>
            <w:tcW w:w="1860" w:type="pct"/>
            <w:shd w:val="clear" w:color="auto" w:fill="auto"/>
            <w:noWrap/>
            <w:vAlign w:val="center"/>
          </w:tcPr>
          <w:p>
            <w:pPr>
              <w:jc w:val="left"/>
              <w:rPr>
                <w:rFonts w:ascii="宋体" w:hAnsi="宋体"/>
                <w:color w:val="000000" w:themeColor="text1"/>
                <w:szCs w:val="21"/>
              </w:rPr>
            </w:pPr>
            <w:r>
              <w:rPr>
                <w:rFonts w:hint="eastAsia" w:ascii="宋体" w:hAnsi="宋体"/>
                <w:color w:val="000000" w:themeColor="text1"/>
                <w:szCs w:val="21"/>
              </w:rPr>
              <w:t>血液净化体外循环管路</w:t>
            </w:r>
          </w:p>
        </w:tc>
        <w:tc>
          <w:tcPr>
            <w:tcW w:w="650" w:type="pct"/>
            <w:noWrap/>
            <w:vAlign w:val="center"/>
          </w:tcPr>
          <w:p>
            <w:pPr>
              <w:jc w:val="left"/>
              <w:rPr>
                <w:rFonts w:ascii="宋体" w:hAnsi="宋体"/>
                <w:color w:val="000000" w:themeColor="text1"/>
                <w:szCs w:val="21"/>
              </w:rPr>
            </w:pPr>
            <w:r>
              <w:rPr>
                <w:rFonts w:hint="eastAsia" w:ascii="宋体" w:hAnsi="宋体"/>
                <w:color w:val="000000" w:themeColor="text1"/>
                <w:szCs w:val="21"/>
              </w:rPr>
              <w:t>1套</w:t>
            </w:r>
          </w:p>
        </w:tc>
        <w:tc>
          <w:tcPr>
            <w:tcW w:w="837" w:type="pct"/>
          </w:tcPr>
          <w:p>
            <w:pPr>
              <w:jc w:val="left"/>
              <w:rPr>
                <w:rFonts w:ascii="宋体" w:hAnsi="宋体"/>
                <w:color w:val="000000" w:themeColor="text1"/>
                <w:szCs w:val="21"/>
              </w:rPr>
            </w:pPr>
          </w:p>
        </w:tc>
        <w:tc>
          <w:tcPr>
            <w:tcW w:w="1208" w:type="pct"/>
            <w:noWrap/>
            <w:vAlign w:val="center"/>
          </w:tcPr>
          <w:p>
            <w:pPr>
              <w:jc w:val="left"/>
              <w:rPr>
                <w:rFonts w:hint="default" w:ascii="宋体" w:hAnsi="宋体" w:eastAsia="宋体"/>
                <w:color w:val="000000" w:themeColor="text1"/>
                <w:szCs w:val="21"/>
                <w:lang w:val="en-US" w:eastAsia="zh-CN"/>
              </w:rPr>
            </w:pPr>
            <w:r>
              <w:rPr>
                <w:rFonts w:hint="eastAsia" w:ascii="宋体" w:hAnsi="宋体"/>
                <w:color w:val="000000" w:themeColor="text1"/>
                <w:szCs w:val="21"/>
                <w:lang w:val="en-US" w:eastAsia="zh-CN"/>
              </w:rPr>
              <w:t>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4" w:hRule="atLeast"/>
        </w:trPr>
        <w:tc>
          <w:tcPr>
            <w:tcW w:w="442" w:type="pct"/>
            <w:shd w:val="clear" w:color="auto" w:fill="auto"/>
            <w:noWrap/>
            <w:vAlign w:val="center"/>
          </w:tcPr>
          <w:p>
            <w:pPr>
              <w:jc w:val="left"/>
              <w:rPr>
                <w:rFonts w:ascii="宋体" w:hAnsi="宋体"/>
                <w:color w:val="000000" w:themeColor="text1"/>
                <w:szCs w:val="21"/>
              </w:rPr>
            </w:pPr>
            <w:r>
              <w:rPr>
                <w:rFonts w:hint="eastAsia" w:ascii="宋体" w:hAnsi="宋体"/>
                <w:color w:val="000000" w:themeColor="text1"/>
                <w:szCs w:val="21"/>
              </w:rPr>
              <w:t>2</w:t>
            </w:r>
          </w:p>
        </w:tc>
        <w:tc>
          <w:tcPr>
            <w:tcW w:w="1860" w:type="pct"/>
            <w:shd w:val="clear" w:color="auto" w:fill="auto"/>
            <w:noWrap/>
            <w:vAlign w:val="center"/>
          </w:tcPr>
          <w:p>
            <w:pPr>
              <w:jc w:val="left"/>
              <w:rPr>
                <w:rFonts w:ascii="宋体" w:hAnsi="宋体"/>
                <w:color w:val="000000" w:themeColor="text1"/>
                <w:szCs w:val="21"/>
              </w:rPr>
            </w:pPr>
            <w:r>
              <w:rPr>
                <w:rFonts w:hint="eastAsia" w:ascii="宋体" w:hAnsi="宋体"/>
                <w:color w:val="000000" w:themeColor="text1"/>
                <w:szCs w:val="21"/>
              </w:rPr>
              <w:t>一次性使用动静脉穿刺针</w:t>
            </w:r>
          </w:p>
        </w:tc>
        <w:tc>
          <w:tcPr>
            <w:tcW w:w="650" w:type="pct"/>
            <w:noWrap/>
            <w:vAlign w:val="center"/>
          </w:tcPr>
          <w:p>
            <w:pPr>
              <w:jc w:val="left"/>
              <w:rPr>
                <w:rFonts w:ascii="宋体" w:hAnsi="宋体"/>
                <w:color w:val="000000" w:themeColor="text1"/>
                <w:szCs w:val="21"/>
              </w:rPr>
            </w:pPr>
            <w:r>
              <w:rPr>
                <w:rFonts w:hint="eastAsia" w:ascii="宋体" w:hAnsi="宋体"/>
                <w:color w:val="000000" w:themeColor="text1"/>
                <w:szCs w:val="21"/>
                <w:lang w:val="en-US" w:eastAsia="zh-CN"/>
              </w:rPr>
              <w:t>1</w:t>
            </w:r>
            <w:r>
              <w:rPr>
                <w:rFonts w:hint="eastAsia" w:ascii="宋体" w:hAnsi="宋体"/>
                <w:color w:val="000000" w:themeColor="text1"/>
                <w:szCs w:val="21"/>
              </w:rPr>
              <w:t>根</w:t>
            </w:r>
          </w:p>
        </w:tc>
        <w:tc>
          <w:tcPr>
            <w:tcW w:w="837" w:type="pct"/>
          </w:tcPr>
          <w:p>
            <w:pPr>
              <w:jc w:val="left"/>
              <w:rPr>
                <w:rFonts w:ascii="宋体" w:hAnsi="宋体"/>
                <w:color w:val="000000" w:themeColor="text1"/>
                <w:szCs w:val="21"/>
              </w:rPr>
            </w:pPr>
          </w:p>
        </w:tc>
        <w:tc>
          <w:tcPr>
            <w:tcW w:w="1208" w:type="pct"/>
            <w:noWrap/>
            <w:vAlign w:val="center"/>
          </w:tcPr>
          <w:p>
            <w:pPr>
              <w:jc w:val="left"/>
              <w:rPr>
                <w:rFonts w:hint="default" w:ascii="宋体" w:hAnsi="宋体" w:eastAsia="宋体"/>
                <w:color w:val="000000" w:themeColor="text1"/>
                <w:szCs w:val="21"/>
                <w:lang w:val="en-US" w:eastAsia="zh-CN"/>
              </w:rPr>
            </w:pPr>
            <w:r>
              <w:rPr>
                <w:rFonts w:hint="eastAsia" w:ascii="宋体" w:hAnsi="宋体"/>
                <w:color w:val="000000" w:themeColor="text1"/>
                <w:szCs w:val="21"/>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4" w:hRule="atLeast"/>
        </w:trPr>
        <w:tc>
          <w:tcPr>
            <w:tcW w:w="442" w:type="pct"/>
            <w:shd w:val="clear" w:color="auto" w:fill="auto"/>
            <w:noWrap/>
            <w:vAlign w:val="center"/>
          </w:tcPr>
          <w:p>
            <w:pPr>
              <w:jc w:val="left"/>
              <w:rPr>
                <w:rFonts w:ascii="宋体" w:hAnsi="宋体"/>
                <w:color w:val="000000" w:themeColor="text1"/>
                <w:szCs w:val="21"/>
              </w:rPr>
            </w:pPr>
            <w:r>
              <w:rPr>
                <w:rFonts w:hint="eastAsia" w:ascii="宋体" w:hAnsi="宋体"/>
                <w:color w:val="000000" w:themeColor="text1"/>
                <w:szCs w:val="21"/>
              </w:rPr>
              <w:t>3</w:t>
            </w:r>
          </w:p>
        </w:tc>
        <w:tc>
          <w:tcPr>
            <w:tcW w:w="1860" w:type="pct"/>
            <w:shd w:val="clear" w:color="auto" w:fill="auto"/>
            <w:noWrap/>
            <w:vAlign w:val="center"/>
          </w:tcPr>
          <w:p>
            <w:pPr>
              <w:jc w:val="left"/>
              <w:rPr>
                <w:rFonts w:ascii="宋体" w:hAnsi="宋体"/>
                <w:color w:val="000000" w:themeColor="text1"/>
                <w:szCs w:val="21"/>
              </w:rPr>
            </w:pPr>
            <w:r>
              <w:rPr>
                <w:rFonts w:hint="eastAsia" w:ascii="宋体" w:hAnsi="宋体"/>
                <w:color w:val="000000" w:themeColor="text1"/>
                <w:szCs w:val="21"/>
              </w:rPr>
              <w:t>血液透析浓缩物（A 液）</w:t>
            </w:r>
          </w:p>
        </w:tc>
        <w:tc>
          <w:tcPr>
            <w:tcW w:w="650" w:type="pct"/>
            <w:noWrap/>
            <w:vAlign w:val="center"/>
          </w:tcPr>
          <w:p>
            <w:pPr>
              <w:jc w:val="left"/>
              <w:rPr>
                <w:rFonts w:ascii="宋体" w:hAnsi="宋体"/>
                <w:color w:val="000000" w:themeColor="text1"/>
                <w:szCs w:val="21"/>
              </w:rPr>
            </w:pPr>
            <w:r>
              <w:rPr>
                <w:rFonts w:hint="eastAsia" w:ascii="宋体" w:hAnsi="宋体"/>
                <w:color w:val="000000" w:themeColor="text1"/>
                <w:szCs w:val="21"/>
              </w:rPr>
              <w:t>1人份</w:t>
            </w:r>
          </w:p>
        </w:tc>
        <w:tc>
          <w:tcPr>
            <w:tcW w:w="837" w:type="pct"/>
          </w:tcPr>
          <w:p>
            <w:pPr>
              <w:jc w:val="left"/>
              <w:rPr>
                <w:rFonts w:hint="default" w:ascii="宋体" w:hAnsi="宋体" w:eastAsia="宋体"/>
                <w:color w:val="000000" w:themeColor="text1"/>
                <w:szCs w:val="21"/>
                <w:lang w:val="en-US" w:eastAsia="zh-CN"/>
              </w:rPr>
            </w:pPr>
          </w:p>
        </w:tc>
        <w:tc>
          <w:tcPr>
            <w:tcW w:w="1208" w:type="pct"/>
            <w:noWrap/>
            <w:vAlign w:val="center"/>
          </w:tcPr>
          <w:p>
            <w:pPr>
              <w:jc w:val="left"/>
              <w:rPr>
                <w:rFonts w:hint="default" w:ascii="宋体" w:hAnsi="宋体" w:eastAsia="宋体"/>
                <w:color w:val="000000" w:themeColor="text1"/>
                <w:szCs w:val="21"/>
                <w:lang w:val="en-US" w:eastAsia="zh-CN"/>
              </w:rPr>
            </w:pPr>
            <w:r>
              <w:rPr>
                <w:rFonts w:hint="eastAsia" w:ascii="宋体" w:hAnsi="宋体"/>
                <w:color w:val="000000" w:themeColor="text1"/>
                <w:szCs w:val="21"/>
                <w:lang w:val="en-US" w:eastAsia="zh-CN"/>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442" w:type="pct"/>
            <w:shd w:val="clear" w:color="auto" w:fill="auto"/>
            <w:noWrap/>
            <w:vAlign w:val="center"/>
          </w:tcPr>
          <w:p>
            <w:pPr>
              <w:jc w:val="left"/>
              <w:rPr>
                <w:rFonts w:ascii="宋体" w:hAnsi="宋体"/>
                <w:color w:val="000000" w:themeColor="text1"/>
                <w:szCs w:val="21"/>
              </w:rPr>
            </w:pPr>
            <w:r>
              <w:rPr>
                <w:rFonts w:hint="eastAsia" w:ascii="宋体" w:hAnsi="宋体"/>
                <w:color w:val="000000" w:themeColor="text1"/>
                <w:szCs w:val="21"/>
              </w:rPr>
              <w:t>4</w:t>
            </w:r>
          </w:p>
        </w:tc>
        <w:tc>
          <w:tcPr>
            <w:tcW w:w="1860" w:type="pct"/>
            <w:shd w:val="clear" w:color="auto" w:fill="auto"/>
            <w:noWrap/>
            <w:vAlign w:val="center"/>
          </w:tcPr>
          <w:p>
            <w:pPr>
              <w:jc w:val="left"/>
              <w:rPr>
                <w:rFonts w:ascii="宋体" w:hAnsi="宋体"/>
                <w:color w:val="000000" w:themeColor="text1"/>
                <w:szCs w:val="21"/>
              </w:rPr>
            </w:pPr>
            <w:r>
              <w:rPr>
                <w:rFonts w:hint="eastAsia" w:ascii="宋体" w:hAnsi="宋体"/>
                <w:color w:val="000000" w:themeColor="text1"/>
                <w:szCs w:val="21"/>
              </w:rPr>
              <w:t>B干粉桶（B干粉袋）</w:t>
            </w:r>
          </w:p>
        </w:tc>
        <w:tc>
          <w:tcPr>
            <w:tcW w:w="650" w:type="pct"/>
            <w:noWrap/>
            <w:vAlign w:val="center"/>
          </w:tcPr>
          <w:p>
            <w:pPr>
              <w:jc w:val="left"/>
              <w:rPr>
                <w:rFonts w:ascii="宋体" w:hAnsi="宋体"/>
                <w:color w:val="000000" w:themeColor="text1"/>
                <w:szCs w:val="21"/>
              </w:rPr>
            </w:pPr>
            <w:r>
              <w:rPr>
                <w:rFonts w:hint="eastAsia" w:ascii="宋体" w:hAnsi="宋体"/>
                <w:color w:val="000000" w:themeColor="text1"/>
                <w:szCs w:val="21"/>
              </w:rPr>
              <w:t>1人份</w:t>
            </w:r>
          </w:p>
        </w:tc>
        <w:tc>
          <w:tcPr>
            <w:tcW w:w="837" w:type="pct"/>
          </w:tcPr>
          <w:p>
            <w:pPr>
              <w:jc w:val="left"/>
              <w:rPr>
                <w:rFonts w:hint="eastAsia" w:ascii="宋体" w:hAnsi="宋体" w:eastAsia="宋体"/>
                <w:color w:val="000000" w:themeColor="text1"/>
                <w:szCs w:val="21"/>
                <w:lang w:val="en-US" w:eastAsia="zh-CN"/>
              </w:rPr>
            </w:pPr>
          </w:p>
        </w:tc>
        <w:tc>
          <w:tcPr>
            <w:tcW w:w="1208" w:type="pct"/>
            <w:noWrap/>
            <w:vAlign w:val="center"/>
          </w:tcPr>
          <w:p>
            <w:pPr>
              <w:jc w:val="left"/>
              <w:rPr>
                <w:rFonts w:hint="default" w:ascii="宋体" w:hAnsi="宋体" w:eastAsia="宋体"/>
                <w:color w:val="000000" w:themeColor="text1"/>
                <w:szCs w:val="21"/>
                <w:lang w:val="en-US" w:eastAsia="zh-CN"/>
              </w:rPr>
            </w:pPr>
            <w:r>
              <w:rPr>
                <w:rFonts w:hint="eastAsia" w:ascii="宋体" w:hAnsi="宋体"/>
                <w:color w:val="000000" w:themeColor="text1"/>
                <w:szCs w:val="21"/>
                <w:lang w:val="en-US" w:eastAsia="zh-CN"/>
              </w:rPr>
              <w:t>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442" w:type="pct"/>
            <w:shd w:val="clear" w:color="auto" w:fill="auto"/>
            <w:noWrap/>
            <w:vAlign w:val="center"/>
          </w:tcPr>
          <w:p>
            <w:pPr>
              <w:jc w:val="left"/>
              <w:rPr>
                <w:rFonts w:ascii="宋体" w:hAnsi="宋体"/>
                <w:color w:val="000000" w:themeColor="text1"/>
                <w:szCs w:val="21"/>
              </w:rPr>
            </w:pPr>
            <w:r>
              <w:rPr>
                <w:rFonts w:hint="eastAsia" w:ascii="宋体" w:hAnsi="宋体"/>
                <w:color w:val="000000" w:themeColor="text1"/>
                <w:szCs w:val="21"/>
              </w:rPr>
              <w:t>5</w:t>
            </w:r>
          </w:p>
        </w:tc>
        <w:tc>
          <w:tcPr>
            <w:tcW w:w="1860" w:type="pct"/>
            <w:shd w:val="clear" w:color="auto" w:fill="auto"/>
            <w:noWrap/>
            <w:vAlign w:val="center"/>
          </w:tcPr>
          <w:p>
            <w:pPr>
              <w:jc w:val="left"/>
              <w:rPr>
                <w:rFonts w:ascii="宋体" w:hAnsi="宋体"/>
                <w:color w:val="000000" w:themeColor="text1"/>
                <w:szCs w:val="21"/>
              </w:rPr>
            </w:pPr>
            <w:r>
              <w:rPr>
                <w:rFonts w:hint="eastAsia" w:ascii="宋体" w:hAnsi="宋体"/>
                <w:color w:val="000000" w:themeColor="text1"/>
                <w:szCs w:val="21"/>
              </w:rPr>
              <w:t>透析护理包</w:t>
            </w:r>
          </w:p>
        </w:tc>
        <w:tc>
          <w:tcPr>
            <w:tcW w:w="650" w:type="pct"/>
            <w:noWrap/>
            <w:vAlign w:val="center"/>
          </w:tcPr>
          <w:p>
            <w:pPr>
              <w:jc w:val="left"/>
              <w:rPr>
                <w:rFonts w:ascii="宋体" w:hAnsi="宋体"/>
                <w:color w:val="000000" w:themeColor="text1"/>
                <w:szCs w:val="21"/>
              </w:rPr>
            </w:pPr>
            <w:r>
              <w:rPr>
                <w:rFonts w:hint="eastAsia" w:ascii="宋体" w:hAnsi="宋体"/>
                <w:color w:val="000000" w:themeColor="text1"/>
                <w:szCs w:val="21"/>
              </w:rPr>
              <w:t>1人份</w:t>
            </w:r>
          </w:p>
        </w:tc>
        <w:tc>
          <w:tcPr>
            <w:tcW w:w="837" w:type="pct"/>
          </w:tcPr>
          <w:p>
            <w:pPr>
              <w:jc w:val="left"/>
              <w:rPr>
                <w:rFonts w:hint="eastAsia" w:ascii="宋体" w:hAnsi="宋体" w:eastAsia="宋体"/>
                <w:color w:val="000000" w:themeColor="text1"/>
                <w:szCs w:val="21"/>
                <w:lang w:val="en-US" w:eastAsia="zh-CN"/>
              </w:rPr>
            </w:pPr>
            <w:r>
              <w:rPr>
                <w:rFonts w:hint="eastAsia" w:ascii="宋体" w:hAnsi="宋体"/>
                <w:color w:val="000000" w:themeColor="text1"/>
                <w:szCs w:val="21"/>
                <w:lang w:val="en-US" w:eastAsia="zh-CN"/>
              </w:rPr>
              <w:t>/</w:t>
            </w:r>
          </w:p>
        </w:tc>
        <w:tc>
          <w:tcPr>
            <w:tcW w:w="1208" w:type="pct"/>
            <w:noWrap/>
            <w:vAlign w:val="center"/>
          </w:tcPr>
          <w:p>
            <w:pPr>
              <w:jc w:val="left"/>
              <w:rPr>
                <w:rFonts w:hint="default" w:ascii="宋体" w:hAnsi="宋体" w:eastAsia="宋体"/>
                <w:color w:val="000000" w:themeColor="text1"/>
                <w:szCs w:val="21"/>
                <w:lang w:val="en-US" w:eastAsia="zh-CN"/>
              </w:rPr>
            </w:pPr>
            <w:r>
              <w:rPr>
                <w:rFonts w:hint="eastAsia" w:ascii="宋体" w:hAnsi="宋体"/>
                <w:color w:val="000000" w:themeColor="text1"/>
                <w:szCs w:val="21"/>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442" w:type="pct"/>
            <w:shd w:val="clear" w:color="auto" w:fill="auto"/>
            <w:noWrap/>
            <w:vAlign w:val="center"/>
          </w:tcPr>
          <w:p>
            <w:pPr>
              <w:jc w:val="left"/>
              <w:rPr>
                <w:rFonts w:ascii="宋体" w:hAnsi="宋体"/>
                <w:color w:val="000000" w:themeColor="text1"/>
                <w:szCs w:val="21"/>
              </w:rPr>
            </w:pPr>
            <w:r>
              <w:rPr>
                <w:rFonts w:hint="eastAsia" w:ascii="宋体" w:hAnsi="宋体"/>
                <w:color w:val="000000" w:themeColor="text1"/>
                <w:szCs w:val="21"/>
              </w:rPr>
              <w:t>6</w:t>
            </w:r>
          </w:p>
        </w:tc>
        <w:tc>
          <w:tcPr>
            <w:tcW w:w="1860" w:type="pct"/>
            <w:shd w:val="clear" w:color="auto" w:fill="auto"/>
            <w:noWrap/>
            <w:vAlign w:val="center"/>
          </w:tcPr>
          <w:p>
            <w:pPr>
              <w:jc w:val="left"/>
              <w:rPr>
                <w:rFonts w:ascii="宋体" w:hAnsi="宋体"/>
                <w:color w:val="000000" w:themeColor="text1"/>
                <w:szCs w:val="21"/>
              </w:rPr>
            </w:pPr>
            <w:r>
              <w:rPr>
                <w:rFonts w:hint="eastAsia" w:ascii="宋体" w:hAnsi="宋体"/>
                <w:color w:val="000000" w:themeColor="text1"/>
                <w:szCs w:val="21"/>
              </w:rPr>
              <w:t>低通量透析器（1）</w:t>
            </w:r>
          </w:p>
        </w:tc>
        <w:tc>
          <w:tcPr>
            <w:tcW w:w="650" w:type="pct"/>
            <w:noWrap/>
            <w:vAlign w:val="center"/>
          </w:tcPr>
          <w:p>
            <w:pPr>
              <w:jc w:val="left"/>
              <w:rPr>
                <w:rFonts w:ascii="宋体" w:hAnsi="宋体"/>
                <w:color w:val="000000" w:themeColor="text1"/>
                <w:szCs w:val="21"/>
              </w:rPr>
            </w:pPr>
            <w:r>
              <w:rPr>
                <w:rFonts w:hint="eastAsia" w:ascii="宋体" w:hAnsi="宋体"/>
                <w:color w:val="000000" w:themeColor="text1"/>
                <w:szCs w:val="21"/>
              </w:rPr>
              <w:t>1人份</w:t>
            </w:r>
          </w:p>
        </w:tc>
        <w:tc>
          <w:tcPr>
            <w:tcW w:w="837" w:type="pct"/>
          </w:tcPr>
          <w:p>
            <w:pPr>
              <w:jc w:val="left"/>
              <w:rPr>
                <w:rFonts w:ascii="宋体" w:hAnsi="宋体"/>
                <w:color w:val="000000" w:themeColor="text1"/>
                <w:szCs w:val="21"/>
              </w:rPr>
            </w:pPr>
          </w:p>
        </w:tc>
        <w:tc>
          <w:tcPr>
            <w:tcW w:w="1208" w:type="pct"/>
            <w:noWrap/>
            <w:vAlign w:val="center"/>
          </w:tcPr>
          <w:p>
            <w:pPr>
              <w:jc w:val="left"/>
              <w:rPr>
                <w:rFonts w:hint="default" w:ascii="宋体" w:hAnsi="宋体" w:eastAsia="宋体"/>
                <w:color w:val="000000" w:themeColor="text1"/>
                <w:szCs w:val="21"/>
                <w:lang w:val="en-US" w:eastAsia="zh-CN"/>
              </w:rPr>
            </w:pPr>
            <w:r>
              <w:rPr>
                <w:rFonts w:hint="eastAsia" w:ascii="宋体" w:hAnsi="宋体"/>
                <w:color w:val="000000" w:themeColor="text1"/>
                <w:szCs w:val="21"/>
                <w:lang w:val="en-US" w:eastAsia="zh-CN"/>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442" w:type="pct"/>
            <w:shd w:val="clear" w:color="auto" w:fill="auto"/>
            <w:noWrap/>
            <w:vAlign w:val="center"/>
          </w:tcPr>
          <w:p>
            <w:pPr>
              <w:jc w:val="left"/>
              <w:rPr>
                <w:rFonts w:ascii="宋体" w:hAnsi="宋体"/>
                <w:color w:val="000000" w:themeColor="text1"/>
                <w:szCs w:val="21"/>
              </w:rPr>
            </w:pPr>
            <w:r>
              <w:rPr>
                <w:rFonts w:hint="eastAsia" w:ascii="宋体" w:hAnsi="宋体"/>
                <w:color w:val="000000" w:themeColor="text1"/>
                <w:szCs w:val="21"/>
              </w:rPr>
              <w:t>7</w:t>
            </w:r>
          </w:p>
        </w:tc>
        <w:tc>
          <w:tcPr>
            <w:tcW w:w="1860" w:type="pct"/>
            <w:shd w:val="clear" w:color="auto" w:fill="auto"/>
            <w:noWrap/>
            <w:vAlign w:val="center"/>
          </w:tcPr>
          <w:p>
            <w:pPr>
              <w:jc w:val="left"/>
              <w:rPr>
                <w:rFonts w:ascii="宋体" w:hAnsi="宋体"/>
                <w:color w:val="000000" w:themeColor="text1"/>
                <w:szCs w:val="21"/>
              </w:rPr>
            </w:pPr>
            <w:r>
              <w:rPr>
                <w:rFonts w:hint="eastAsia" w:ascii="宋体" w:hAnsi="宋体"/>
                <w:color w:val="000000" w:themeColor="text1"/>
                <w:szCs w:val="21"/>
              </w:rPr>
              <w:t>低通量透析器（2）</w:t>
            </w:r>
          </w:p>
        </w:tc>
        <w:tc>
          <w:tcPr>
            <w:tcW w:w="650" w:type="pct"/>
            <w:noWrap/>
            <w:vAlign w:val="center"/>
          </w:tcPr>
          <w:p>
            <w:pPr>
              <w:jc w:val="left"/>
              <w:rPr>
                <w:rFonts w:ascii="宋体" w:hAnsi="宋体"/>
                <w:color w:val="000000" w:themeColor="text1"/>
                <w:szCs w:val="21"/>
              </w:rPr>
            </w:pPr>
            <w:r>
              <w:rPr>
                <w:rFonts w:hint="eastAsia" w:ascii="宋体" w:hAnsi="宋体"/>
                <w:color w:val="000000" w:themeColor="text1"/>
                <w:szCs w:val="21"/>
              </w:rPr>
              <w:t>1人份</w:t>
            </w:r>
          </w:p>
        </w:tc>
        <w:tc>
          <w:tcPr>
            <w:tcW w:w="837" w:type="pct"/>
          </w:tcPr>
          <w:p>
            <w:pPr>
              <w:jc w:val="left"/>
              <w:rPr>
                <w:rFonts w:ascii="宋体" w:hAnsi="宋体"/>
                <w:color w:val="000000" w:themeColor="text1"/>
                <w:szCs w:val="21"/>
              </w:rPr>
            </w:pPr>
          </w:p>
        </w:tc>
        <w:tc>
          <w:tcPr>
            <w:tcW w:w="1208" w:type="pct"/>
            <w:noWrap/>
            <w:vAlign w:val="center"/>
          </w:tcPr>
          <w:p>
            <w:pPr>
              <w:jc w:val="left"/>
              <w:rPr>
                <w:rFonts w:hint="default" w:ascii="宋体" w:hAnsi="宋体" w:eastAsia="宋体"/>
                <w:color w:val="000000" w:themeColor="text1"/>
                <w:szCs w:val="21"/>
                <w:lang w:val="en-US" w:eastAsia="zh-CN"/>
              </w:rPr>
            </w:pPr>
            <w:r>
              <w:rPr>
                <w:rFonts w:hint="eastAsia" w:ascii="宋体" w:hAnsi="宋体"/>
                <w:color w:val="000000" w:themeColor="text1"/>
                <w:szCs w:val="21"/>
                <w:lang w:val="en-US" w:eastAsia="zh-CN"/>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442" w:type="pct"/>
            <w:shd w:val="clear" w:color="auto" w:fill="auto"/>
            <w:noWrap/>
            <w:vAlign w:val="center"/>
          </w:tcPr>
          <w:p>
            <w:pPr>
              <w:jc w:val="left"/>
              <w:rPr>
                <w:rFonts w:ascii="宋体" w:hAnsi="宋体"/>
                <w:color w:val="000000" w:themeColor="text1"/>
                <w:szCs w:val="21"/>
              </w:rPr>
            </w:pPr>
            <w:r>
              <w:rPr>
                <w:rFonts w:hint="eastAsia" w:ascii="宋体" w:hAnsi="宋体"/>
                <w:color w:val="000000" w:themeColor="text1"/>
                <w:szCs w:val="21"/>
              </w:rPr>
              <w:t>8</w:t>
            </w:r>
          </w:p>
        </w:tc>
        <w:tc>
          <w:tcPr>
            <w:tcW w:w="1860" w:type="pct"/>
            <w:shd w:val="clear" w:color="auto" w:fill="auto"/>
            <w:noWrap/>
            <w:vAlign w:val="center"/>
          </w:tcPr>
          <w:p>
            <w:pPr>
              <w:jc w:val="left"/>
              <w:rPr>
                <w:rFonts w:ascii="宋体" w:hAnsi="宋体"/>
                <w:color w:val="000000" w:themeColor="text1"/>
                <w:szCs w:val="21"/>
              </w:rPr>
            </w:pPr>
            <w:r>
              <w:rPr>
                <w:rFonts w:hint="eastAsia" w:ascii="宋体" w:hAnsi="宋体"/>
                <w:color w:val="000000" w:themeColor="text1"/>
                <w:szCs w:val="21"/>
              </w:rPr>
              <w:t>高通量透析器</w:t>
            </w:r>
          </w:p>
        </w:tc>
        <w:tc>
          <w:tcPr>
            <w:tcW w:w="650" w:type="pct"/>
            <w:noWrap/>
            <w:vAlign w:val="center"/>
          </w:tcPr>
          <w:p>
            <w:pPr>
              <w:jc w:val="left"/>
              <w:rPr>
                <w:rFonts w:ascii="宋体" w:hAnsi="宋体"/>
                <w:color w:val="000000" w:themeColor="text1"/>
                <w:szCs w:val="21"/>
              </w:rPr>
            </w:pPr>
            <w:r>
              <w:rPr>
                <w:rFonts w:hint="eastAsia" w:ascii="宋体" w:hAnsi="宋体"/>
                <w:color w:val="000000" w:themeColor="text1"/>
                <w:szCs w:val="21"/>
              </w:rPr>
              <w:t>1人份</w:t>
            </w:r>
          </w:p>
        </w:tc>
        <w:tc>
          <w:tcPr>
            <w:tcW w:w="837" w:type="pct"/>
          </w:tcPr>
          <w:p>
            <w:pPr>
              <w:jc w:val="left"/>
              <w:rPr>
                <w:rFonts w:ascii="宋体" w:hAnsi="宋体"/>
                <w:color w:val="000000" w:themeColor="text1"/>
                <w:szCs w:val="21"/>
              </w:rPr>
            </w:pPr>
          </w:p>
        </w:tc>
        <w:tc>
          <w:tcPr>
            <w:tcW w:w="1208" w:type="pct"/>
            <w:noWrap/>
            <w:vAlign w:val="center"/>
          </w:tcPr>
          <w:p>
            <w:pPr>
              <w:jc w:val="left"/>
              <w:rPr>
                <w:rFonts w:hint="default" w:ascii="宋体" w:hAnsi="宋体" w:eastAsia="宋体"/>
                <w:color w:val="000000" w:themeColor="text1"/>
                <w:szCs w:val="21"/>
                <w:lang w:val="en-US" w:eastAsia="zh-CN"/>
              </w:rPr>
            </w:pPr>
            <w:r>
              <w:rPr>
                <w:rFonts w:hint="eastAsia" w:ascii="宋体" w:hAnsi="宋体"/>
                <w:color w:val="000000" w:themeColor="text1"/>
                <w:szCs w:val="21"/>
                <w:lang w:val="en-US" w:eastAsia="zh-CN"/>
              </w:rPr>
              <w:t>70</w:t>
            </w:r>
          </w:p>
        </w:tc>
      </w:tr>
    </w:tbl>
    <w:p>
      <w:pPr>
        <w:jc w:val="center"/>
        <w:rPr>
          <w:rFonts w:hint="default" w:eastAsia="宋体"/>
          <w:lang w:val="en-US" w:eastAsia="zh-CN"/>
        </w:rPr>
      </w:pPr>
      <w:r>
        <w:rPr>
          <w:rFonts w:hint="eastAsia" w:ascii="宋体" w:hAnsi="宋体"/>
          <w:color w:val="000000" w:themeColor="text1"/>
          <w:szCs w:val="21"/>
        </w:rPr>
        <w:t xml:space="preserve">          </w:t>
      </w:r>
      <w:r>
        <w:rPr>
          <w:rFonts w:hint="eastAsia" w:ascii="宋体" w:hAnsi="宋体"/>
          <w:color w:val="000000" w:themeColor="text1"/>
          <w:szCs w:val="21"/>
          <w:lang w:val="en-US" w:eastAsia="zh-CN"/>
        </w:rPr>
        <w:t>最高投标限价单价</w:t>
      </w:r>
    </w:p>
    <w:p>
      <w:pPr>
        <w:pStyle w:val="5"/>
        <w:ind w:firstLine="0"/>
        <w:rPr>
          <w:rFonts w:asciiTheme="minorEastAsia" w:hAnsiTheme="minorEastAsia" w:eastAsiaTheme="minorEastAsia" w:cstheme="minorEastAsia"/>
        </w:rPr>
      </w:pPr>
    </w:p>
    <w:p>
      <w:pPr>
        <w:pStyle w:val="6"/>
        <w:ind w:firstLine="472" w:firstLineChars="196"/>
        <w:rPr>
          <w:rFonts w:asciiTheme="minorEastAsia" w:hAnsiTheme="minorEastAsia" w:eastAsiaTheme="minorEastAsia" w:cstheme="minorEastAsia"/>
        </w:rPr>
      </w:pPr>
      <w:bookmarkStart w:id="86" w:name="_Toc4579"/>
      <w:bookmarkStart w:id="87" w:name="_Toc15427"/>
      <w:r>
        <w:rPr>
          <w:rFonts w:hint="eastAsia" w:asciiTheme="minorEastAsia" w:hAnsiTheme="minorEastAsia" w:eastAsiaTheme="minorEastAsia" w:cstheme="minorEastAsia"/>
        </w:rPr>
        <w:t>三、</w:t>
      </w:r>
      <w:bookmarkEnd w:id="86"/>
      <w:bookmarkEnd w:id="87"/>
      <w:bookmarkStart w:id="88" w:name="_Toc7485"/>
      <w:bookmarkStart w:id="89" w:name="_Toc23093"/>
      <w:r>
        <w:rPr>
          <w:rFonts w:hint="eastAsia" w:asciiTheme="minorEastAsia" w:hAnsiTheme="minorEastAsia" w:eastAsiaTheme="minorEastAsia" w:cstheme="minorEastAsia"/>
        </w:rPr>
        <w:t>验收</w:t>
      </w:r>
      <w:bookmarkEnd w:id="88"/>
      <w:bookmarkEnd w:id="89"/>
      <w:r>
        <w:rPr>
          <w:rFonts w:hint="eastAsia" w:asciiTheme="minorEastAsia" w:hAnsiTheme="minorEastAsia" w:eastAsiaTheme="minorEastAsia" w:cstheme="minorEastAsia"/>
        </w:rPr>
        <w:t xml:space="preserve">     </w:t>
      </w:r>
    </w:p>
    <w:p>
      <w:pPr>
        <w:widowControl/>
        <w:spacing w:line="5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中标人和采购人双方共同实施验收工作，结果和验收报告经双方确认后生效。</w:t>
      </w:r>
    </w:p>
    <w:p>
      <w:pPr>
        <w:widowControl/>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br w:type="page"/>
      </w:r>
    </w:p>
    <w:p>
      <w:pPr>
        <w:pStyle w:val="3"/>
        <w:numPr>
          <w:ilvl w:val="0"/>
          <w:numId w:val="1"/>
        </w:numPr>
        <w:rPr>
          <w:rFonts w:asciiTheme="minorEastAsia" w:hAnsiTheme="minorEastAsia" w:eastAsiaTheme="minorEastAsia" w:cstheme="minorEastAsia"/>
        </w:rPr>
      </w:pPr>
      <w:bookmarkStart w:id="90" w:name="_Toc7241"/>
      <w:bookmarkStart w:id="91" w:name="_Toc6270"/>
      <w:bookmarkStart w:id="92" w:name="_Toc3977"/>
      <w:bookmarkStart w:id="93" w:name="_Toc431"/>
      <w:r>
        <w:rPr>
          <w:rFonts w:hint="eastAsia" w:asciiTheme="minorEastAsia" w:hAnsiTheme="minorEastAsia" w:eastAsiaTheme="minorEastAsia" w:cstheme="minorEastAsia"/>
        </w:rPr>
        <w:t>政府采购合同主要条款</w:t>
      </w:r>
      <w:bookmarkEnd w:id="90"/>
      <w:bookmarkEnd w:id="91"/>
      <w:bookmarkEnd w:id="92"/>
      <w:bookmarkEnd w:id="93"/>
      <w:r>
        <w:rPr>
          <w:rFonts w:hint="eastAsia" w:asciiTheme="minorEastAsia" w:hAnsiTheme="minorEastAsia" w:eastAsiaTheme="minorEastAsia" w:cstheme="minorEastAsia"/>
        </w:rPr>
        <w:t xml:space="preserve"> </w:t>
      </w:r>
    </w:p>
    <w:p>
      <w:pPr>
        <w:rPr>
          <w:rFonts w:asciiTheme="minorEastAsia" w:hAnsiTheme="minorEastAsia" w:eastAsiaTheme="minorEastAsia" w:cstheme="minorEastAsia"/>
          <w:szCs w:val="21"/>
        </w:rPr>
      </w:pPr>
    </w:p>
    <w:p>
      <w:pP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服务类合同条款</w:t>
      </w:r>
    </w:p>
    <w:p>
      <w:pPr>
        <w:spacing w:line="360" w:lineRule="auto"/>
        <w:jc w:val="center"/>
        <w:outlineLvl w:val="2"/>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第一部分 合同书</w:t>
      </w:r>
    </w:p>
    <w:p>
      <w:pPr>
        <w:spacing w:line="480" w:lineRule="auto"/>
        <w:jc w:val="center"/>
        <w:rPr>
          <w:rFonts w:asciiTheme="minorEastAsia" w:hAnsiTheme="minorEastAsia" w:eastAsiaTheme="minorEastAsia" w:cstheme="minorEastAsia"/>
          <w:b/>
          <w:sz w:val="24"/>
        </w:rPr>
      </w:pPr>
    </w:p>
    <w:p>
      <w:pPr>
        <w:spacing w:line="480" w:lineRule="auto"/>
        <w:jc w:val="center"/>
        <w:rPr>
          <w:rFonts w:asciiTheme="minorEastAsia" w:hAnsiTheme="minorEastAsia" w:eastAsiaTheme="minorEastAsia" w:cstheme="minorEastAsia"/>
          <w:b/>
          <w:sz w:val="24"/>
        </w:rPr>
      </w:pPr>
    </w:p>
    <w:p>
      <w:pPr>
        <w:spacing w:line="480" w:lineRule="auto"/>
        <w:jc w:val="center"/>
        <w:rPr>
          <w:rFonts w:asciiTheme="minorEastAsia" w:hAnsiTheme="minorEastAsia" w:eastAsiaTheme="minorEastAsia" w:cstheme="minorEastAsia"/>
          <w:b/>
          <w:sz w:val="24"/>
        </w:rPr>
      </w:pPr>
    </w:p>
    <w:p>
      <w:pPr>
        <w:spacing w:before="120" w:line="480" w:lineRule="auto"/>
        <w:ind w:left="96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项目名称：_____________________________________________</w:t>
      </w:r>
    </w:p>
    <w:p>
      <w:pPr>
        <w:spacing w:before="120" w:line="480" w:lineRule="auto"/>
        <w:ind w:left="960"/>
        <w:rPr>
          <w:rFonts w:asciiTheme="minorEastAsia" w:hAnsiTheme="minorEastAsia" w:eastAsiaTheme="minorEastAsia" w:cstheme="minorEastAsia"/>
          <w:sz w:val="24"/>
        </w:rPr>
      </w:pPr>
    </w:p>
    <w:p>
      <w:pPr>
        <w:spacing w:before="120" w:line="480" w:lineRule="auto"/>
        <w:ind w:left="960"/>
        <w:rPr>
          <w:rFonts w:asciiTheme="minorEastAsia" w:hAnsiTheme="minorEastAsia" w:eastAsiaTheme="minorEastAsia" w:cstheme="minorEastAsia"/>
          <w:sz w:val="24"/>
        </w:rPr>
      </w:pPr>
    </w:p>
    <w:p>
      <w:pPr>
        <w:spacing w:before="120" w:line="480" w:lineRule="auto"/>
        <w:ind w:left="96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甲方（采购人）：</w:t>
      </w:r>
      <w:r>
        <w:rPr>
          <w:rFonts w:hint="eastAsia" w:asciiTheme="minorEastAsia" w:hAnsiTheme="minorEastAsia" w:eastAsiaTheme="minorEastAsia" w:cstheme="minorEastAsia"/>
          <w:sz w:val="24"/>
          <w:u w:val="single"/>
        </w:rPr>
        <w:t xml:space="preserve">                              </w:t>
      </w:r>
    </w:p>
    <w:p>
      <w:pPr>
        <w:spacing w:before="120" w:line="480" w:lineRule="auto"/>
        <w:ind w:left="960"/>
        <w:rPr>
          <w:rFonts w:asciiTheme="minorEastAsia" w:hAnsiTheme="minorEastAsia" w:eastAsiaTheme="minorEastAsia" w:cstheme="minorEastAsia"/>
          <w:sz w:val="24"/>
        </w:rPr>
      </w:pPr>
    </w:p>
    <w:p>
      <w:pPr>
        <w:spacing w:before="120" w:line="480" w:lineRule="auto"/>
        <w:ind w:left="96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乙方（中标人或成交人）：</w:t>
      </w:r>
      <w:r>
        <w:rPr>
          <w:rFonts w:hint="eastAsia" w:asciiTheme="minorEastAsia" w:hAnsiTheme="minorEastAsia" w:eastAsiaTheme="minorEastAsia" w:cstheme="minorEastAsia"/>
          <w:sz w:val="24"/>
          <w:u w:val="single"/>
        </w:rPr>
        <w:t xml:space="preserve">                              </w:t>
      </w:r>
    </w:p>
    <w:p>
      <w:pPr>
        <w:spacing w:before="120" w:line="480" w:lineRule="auto"/>
        <w:ind w:firstLine="960" w:firstLineChars="400"/>
        <w:rPr>
          <w:rFonts w:asciiTheme="minorEastAsia" w:hAnsiTheme="minorEastAsia" w:eastAsiaTheme="minorEastAsia" w:cstheme="minorEastAsia"/>
          <w:sz w:val="24"/>
        </w:rPr>
      </w:pPr>
    </w:p>
    <w:p>
      <w:pPr>
        <w:spacing w:before="120" w:line="480" w:lineRule="auto"/>
        <w:ind w:firstLine="960" w:firstLineChars="400"/>
        <w:rPr>
          <w:rFonts w:asciiTheme="minorEastAsia" w:hAnsiTheme="minorEastAsia" w:eastAsiaTheme="minorEastAsia" w:cstheme="minorEastAsia"/>
          <w:sz w:val="24"/>
        </w:rPr>
      </w:pPr>
    </w:p>
    <w:p>
      <w:pPr>
        <w:spacing w:before="120" w:line="480" w:lineRule="auto"/>
        <w:ind w:firstLine="960" w:firstLineChars="400"/>
        <w:rPr>
          <w:rFonts w:asciiTheme="minorEastAsia" w:hAnsiTheme="minorEastAsia" w:eastAsiaTheme="minorEastAsia" w:cstheme="minorEastAsia"/>
          <w:sz w:val="24"/>
        </w:rPr>
      </w:pPr>
    </w:p>
    <w:p>
      <w:pPr>
        <w:spacing w:before="120" w:line="480" w:lineRule="auto"/>
        <w:ind w:firstLine="960" w:firstLineChars="400"/>
        <w:rPr>
          <w:rFonts w:asciiTheme="minorEastAsia" w:hAnsiTheme="minorEastAsia" w:eastAsiaTheme="minorEastAsia" w:cstheme="minorEastAsia"/>
          <w:sz w:val="24"/>
        </w:rPr>
      </w:pPr>
    </w:p>
    <w:p>
      <w:pPr>
        <w:spacing w:before="120" w:line="480" w:lineRule="auto"/>
        <w:ind w:firstLine="960" w:firstLineChars="40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签订地点：</w:t>
      </w:r>
      <w:r>
        <w:rPr>
          <w:rFonts w:hint="eastAsia" w:asciiTheme="minorEastAsia" w:hAnsiTheme="minorEastAsia" w:eastAsiaTheme="minorEastAsia" w:cstheme="minorEastAsia"/>
          <w:sz w:val="24"/>
          <w:u w:val="single"/>
        </w:rPr>
        <w:t xml:space="preserve">                                     </w:t>
      </w:r>
    </w:p>
    <w:p>
      <w:pPr>
        <w:spacing w:before="120" w:line="480" w:lineRule="auto"/>
        <w:ind w:firstLine="960" w:firstLineChars="400"/>
        <w:rPr>
          <w:rFonts w:asciiTheme="minorEastAsia" w:hAnsiTheme="minorEastAsia" w:eastAsiaTheme="minorEastAsia" w:cstheme="minorEastAsia"/>
          <w:sz w:val="24"/>
        </w:rPr>
      </w:pPr>
    </w:p>
    <w:p>
      <w:pPr>
        <w:spacing w:before="120" w:line="480" w:lineRule="auto"/>
        <w:ind w:firstLine="960" w:firstLineChars="4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签订日期：</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年</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月</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日</w:t>
      </w:r>
    </w:p>
    <w:p>
      <w:pPr>
        <w:widowControl/>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br w:type="page"/>
      </w:r>
    </w:p>
    <w:p>
      <w:pPr>
        <w:spacing w:line="360" w:lineRule="auto"/>
        <w:ind w:firstLine="435"/>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rPr>
        <w:t>根据《中华人民共和国民法典》、《中华人民共和国政府采购法》等相关法律法规的规定，按照平等、自愿、公平和诚实信用的原则，经甲方和乙方协商一致，约定下述合同条款，以共同遵守并全面履行。</w:t>
      </w:r>
    </w:p>
    <w:p>
      <w:pPr>
        <w:spacing w:line="360" w:lineRule="auto"/>
        <w:ind w:firstLine="437"/>
        <w:outlineLvl w:val="3"/>
        <w:rPr>
          <w:rFonts w:asciiTheme="minorEastAsia" w:hAnsiTheme="minorEastAsia" w:eastAsiaTheme="minorEastAsia" w:cstheme="minorEastAsia"/>
          <w:b/>
          <w:bCs/>
          <w:sz w:val="24"/>
          <w:lang w:val="zh-CN"/>
        </w:rPr>
      </w:pPr>
      <w:r>
        <w:rPr>
          <w:rFonts w:hint="eastAsia" w:asciiTheme="minorEastAsia" w:hAnsiTheme="minorEastAsia" w:eastAsiaTheme="minorEastAsia" w:cstheme="minorEastAsia"/>
          <w:b/>
          <w:bCs/>
          <w:sz w:val="24"/>
          <w:lang w:val="zh-CN"/>
        </w:rPr>
        <w:t>1.1 合同组成部分</w:t>
      </w:r>
    </w:p>
    <w:p>
      <w:pPr>
        <w:spacing w:line="360" w:lineRule="auto"/>
        <w:ind w:firstLine="435"/>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下列文件为本合同的组成部分，并构成一个整体，需综合解释、相互补充。如果下列文件内容出现不一致的情形，那么在保证按照采购文件确定的事项前提下，组成本合同的多个文件的优先适用顺序如下：</w:t>
      </w:r>
    </w:p>
    <w:p>
      <w:pPr>
        <w:spacing w:line="360" w:lineRule="auto"/>
        <w:ind w:firstLine="435"/>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1.1.1本合同及其补充合同、变更协议；</w:t>
      </w:r>
    </w:p>
    <w:p>
      <w:pPr>
        <w:spacing w:line="360" w:lineRule="auto"/>
        <w:ind w:firstLine="435"/>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1.1.2中标通知书；</w:t>
      </w:r>
    </w:p>
    <w:p>
      <w:pPr>
        <w:spacing w:line="360" w:lineRule="auto"/>
        <w:ind w:firstLine="435"/>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1.1.3投标文件（含澄清或者说明文件）；</w:t>
      </w:r>
    </w:p>
    <w:p>
      <w:pPr>
        <w:spacing w:line="360" w:lineRule="auto"/>
        <w:ind w:firstLine="435"/>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1.1.4招标文件（含澄清或者修改文件）；</w:t>
      </w:r>
    </w:p>
    <w:p>
      <w:pPr>
        <w:spacing w:line="360" w:lineRule="auto"/>
        <w:ind w:firstLine="435"/>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1.1.5其他相关采购文件。</w:t>
      </w:r>
    </w:p>
    <w:p>
      <w:pPr>
        <w:spacing w:line="360" w:lineRule="auto"/>
        <w:ind w:firstLine="437"/>
        <w:outlineLvl w:val="3"/>
        <w:rPr>
          <w:rFonts w:asciiTheme="minorEastAsia" w:hAnsiTheme="minorEastAsia" w:eastAsiaTheme="minorEastAsia" w:cstheme="minorEastAsia"/>
          <w:b/>
          <w:bCs/>
          <w:sz w:val="24"/>
          <w:lang w:val="zh-CN"/>
        </w:rPr>
      </w:pPr>
      <w:bookmarkStart w:id="94" w:name="_Toc18585"/>
      <w:bookmarkStart w:id="95" w:name="_Toc22185"/>
      <w:bookmarkStart w:id="96" w:name="_Toc2918"/>
      <w:bookmarkStart w:id="97" w:name="_Toc6311"/>
      <w:bookmarkStart w:id="98" w:name="_Toc6773"/>
      <w:r>
        <w:rPr>
          <w:rFonts w:hint="eastAsia" w:asciiTheme="minorEastAsia" w:hAnsiTheme="minorEastAsia" w:eastAsiaTheme="minorEastAsia" w:cstheme="minorEastAsia"/>
          <w:b/>
          <w:bCs/>
          <w:sz w:val="24"/>
          <w:lang w:val="zh-CN"/>
        </w:rPr>
        <w:t xml:space="preserve">1.2 </w:t>
      </w:r>
      <w:bookmarkEnd w:id="94"/>
      <w:bookmarkEnd w:id="95"/>
      <w:bookmarkEnd w:id="96"/>
      <w:bookmarkEnd w:id="97"/>
      <w:bookmarkEnd w:id="98"/>
      <w:r>
        <w:rPr>
          <w:rFonts w:hint="eastAsia" w:asciiTheme="minorEastAsia" w:hAnsiTheme="minorEastAsia" w:eastAsiaTheme="minorEastAsia" w:cstheme="minorEastAsia"/>
          <w:b/>
          <w:bCs/>
          <w:sz w:val="24"/>
          <w:lang w:val="zh-CN"/>
        </w:rPr>
        <w:t>服务</w:t>
      </w:r>
    </w:p>
    <w:p>
      <w:pPr>
        <w:spacing w:line="360" w:lineRule="auto"/>
        <w:ind w:firstLine="435"/>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1.2.1服务名称：</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w:t>
      </w:r>
    </w:p>
    <w:p>
      <w:pPr>
        <w:spacing w:line="360" w:lineRule="auto"/>
        <w:ind w:firstLine="435"/>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1.2.2服务内容：</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1.2.3服务质量：</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w:t>
      </w:r>
    </w:p>
    <w:p>
      <w:pPr>
        <w:spacing w:line="360" w:lineRule="auto"/>
        <w:ind w:firstLine="437"/>
        <w:outlineLvl w:val="3"/>
        <w:rPr>
          <w:rFonts w:hint="eastAsia" w:asciiTheme="minorEastAsia" w:hAnsiTheme="minorEastAsia" w:eastAsiaTheme="minorEastAsia" w:cstheme="minorEastAsia"/>
          <w:b/>
          <w:bCs/>
          <w:sz w:val="24"/>
          <w:lang w:val="zh-CN" w:eastAsia="zh-CN"/>
        </w:rPr>
      </w:pPr>
      <w:r>
        <w:rPr>
          <w:rFonts w:hint="eastAsia" w:asciiTheme="minorEastAsia" w:hAnsiTheme="minorEastAsia" w:eastAsiaTheme="minorEastAsia" w:cstheme="minorEastAsia"/>
          <w:b/>
          <w:bCs/>
          <w:sz w:val="24"/>
          <w:lang w:val="zh-CN"/>
        </w:rPr>
        <w:t xml:space="preserve">1.3 </w:t>
      </w:r>
      <w:r>
        <w:rPr>
          <w:rFonts w:hint="eastAsia" w:asciiTheme="minorEastAsia" w:hAnsiTheme="minorEastAsia" w:eastAsiaTheme="minorEastAsia" w:cstheme="minorEastAsia"/>
          <w:b/>
          <w:bCs/>
          <w:sz w:val="24"/>
          <w:lang w:eastAsia="zh-CN"/>
        </w:rPr>
        <w:t>总价</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本合同</w:t>
      </w:r>
      <w:r>
        <w:rPr>
          <w:rFonts w:hint="eastAsia" w:asciiTheme="minorEastAsia" w:hAnsiTheme="minorEastAsia" w:eastAsiaTheme="minorEastAsia" w:cstheme="minorEastAsia"/>
          <w:sz w:val="24"/>
          <w:lang w:val="en-US" w:eastAsia="zh-CN"/>
        </w:rPr>
        <w:t>总价</w:t>
      </w:r>
      <w:r>
        <w:rPr>
          <w:rFonts w:hint="eastAsia" w:asciiTheme="minorEastAsia" w:hAnsiTheme="minorEastAsia" w:eastAsiaTheme="minorEastAsia" w:cstheme="minorEastAsia"/>
          <w:sz w:val="24"/>
        </w:rPr>
        <w:t>为：</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（大写：</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u w:val="single"/>
          <w:lang w:val="en-US" w:eastAsia="zh-CN"/>
        </w:rPr>
        <w:t xml:space="preserve"> </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w:t>
      </w:r>
    </w:p>
    <w:p>
      <w:pPr>
        <w:spacing w:line="360" w:lineRule="auto"/>
        <w:ind w:firstLine="435"/>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分项价格：</w:t>
      </w:r>
    </w:p>
    <w:tbl>
      <w:tblPr>
        <w:tblStyle w:val="28"/>
        <w:tblW w:w="446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4"/>
        <w:gridCol w:w="4892"/>
        <w:gridCol w:w="16"/>
        <w:gridCol w:w="2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29" w:type="pct"/>
            <w:vAlign w:val="center"/>
          </w:tcPr>
          <w:p>
            <w:pPr>
              <w:jc w:val="center"/>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序号</w:t>
            </w:r>
          </w:p>
        </w:tc>
        <w:tc>
          <w:tcPr>
            <w:tcW w:w="2836" w:type="pct"/>
            <w:vAlign w:val="center"/>
          </w:tcPr>
          <w:p>
            <w:pPr>
              <w:ind w:firstLine="20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分项名称</w:t>
            </w:r>
          </w:p>
        </w:tc>
        <w:tc>
          <w:tcPr>
            <w:tcW w:w="1534" w:type="pct"/>
            <w:gridSpan w:val="2"/>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29" w:type="pct"/>
          </w:tcPr>
          <w:p>
            <w:pPr>
              <w:jc w:val="center"/>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1</w:t>
            </w:r>
          </w:p>
        </w:tc>
        <w:tc>
          <w:tcPr>
            <w:tcW w:w="2836" w:type="pct"/>
            <w:vAlign w:val="center"/>
          </w:tcPr>
          <w:p>
            <w:pPr>
              <w:ind w:firstLine="200"/>
              <w:jc w:val="center"/>
              <w:rPr>
                <w:rFonts w:asciiTheme="minorEastAsia" w:hAnsiTheme="minorEastAsia" w:eastAsiaTheme="minorEastAsia" w:cstheme="minorEastAsia"/>
                <w:sz w:val="24"/>
              </w:rPr>
            </w:pPr>
          </w:p>
        </w:tc>
        <w:tc>
          <w:tcPr>
            <w:tcW w:w="1534" w:type="pct"/>
            <w:gridSpan w:val="2"/>
            <w:vAlign w:val="center"/>
          </w:tcPr>
          <w:p>
            <w:pPr>
              <w:ind w:firstLine="200"/>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29" w:type="pct"/>
          </w:tcPr>
          <w:p>
            <w:pPr>
              <w:jc w:val="center"/>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2</w:t>
            </w:r>
          </w:p>
        </w:tc>
        <w:tc>
          <w:tcPr>
            <w:tcW w:w="2836" w:type="pct"/>
            <w:vAlign w:val="center"/>
          </w:tcPr>
          <w:p>
            <w:pPr>
              <w:ind w:firstLine="200"/>
              <w:jc w:val="center"/>
              <w:rPr>
                <w:rFonts w:asciiTheme="minorEastAsia" w:hAnsiTheme="minorEastAsia" w:eastAsiaTheme="minorEastAsia" w:cstheme="minorEastAsia"/>
                <w:sz w:val="24"/>
              </w:rPr>
            </w:pPr>
          </w:p>
        </w:tc>
        <w:tc>
          <w:tcPr>
            <w:tcW w:w="1534" w:type="pct"/>
            <w:gridSpan w:val="2"/>
            <w:vAlign w:val="center"/>
          </w:tcPr>
          <w:p>
            <w:pPr>
              <w:ind w:firstLine="200"/>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29" w:type="pct"/>
          </w:tcPr>
          <w:p>
            <w:pPr>
              <w:jc w:val="center"/>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3</w:t>
            </w:r>
          </w:p>
        </w:tc>
        <w:tc>
          <w:tcPr>
            <w:tcW w:w="2836" w:type="pct"/>
            <w:vAlign w:val="center"/>
          </w:tcPr>
          <w:p>
            <w:pPr>
              <w:ind w:firstLine="200"/>
              <w:jc w:val="center"/>
              <w:rPr>
                <w:rFonts w:asciiTheme="minorEastAsia" w:hAnsiTheme="minorEastAsia" w:eastAsiaTheme="minorEastAsia" w:cstheme="minorEastAsia"/>
                <w:sz w:val="24"/>
              </w:rPr>
            </w:pPr>
          </w:p>
        </w:tc>
        <w:tc>
          <w:tcPr>
            <w:tcW w:w="1534" w:type="pct"/>
            <w:gridSpan w:val="2"/>
            <w:vAlign w:val="center"/>
          </w:tcPr>
          <w:p>
            <w:pPr>
              <w:ind w:firstLine="200"/>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29" w:type="pct"/>
          </w:tcPr>
          <w:p>
            <w:pPr>
              <w:jc w:val="center"/>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w:t>
            </w:r>
          </w:p>
        </w:tc>
        <w:tc>
          <w:tcPr>
            <w:tcW w:w="2836" w:type="pct"/>
            <w:vAlign w:val="center"/>
          </w:tcPr>
          <w:p>
            <w:pPr>
              <w:ind w:firstLine="200"/>
              <w:jc w:val="center"/>
              <w:rPr>
                <w:rFonts w:asciiTheme="minorEastAsia" w:hAnsiTheme="minorEastAsia" w:eastAsiaTheme="minorEastAsia" w:cstheme="minorEastAsia"/>
                <w:sz w:val="24"/>
              </w:rPr>
            </w:pPr>
          </w:p>
        </w:tc>
        <w:tc>
          <w:tcPr>
            <w:tcW w:w="1534" w:type="pct"/>
            <w:gridSpan w:val="2"/>
            <w:vAlign w:val="center"/>
          </w:tcPr>
          <w:p>
            <w:pPr>
              <w:ind w:firstLine="200"/>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474" w:type="pct"/>
            <w:gridSpan w:val="3"/>
            <w:vAlign w:val="center"/>
          </w:tcPr>
          <w:p>
            <w:pPr>
              <w:ind w:firstLine="20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总价</w:t>
            </w:r>
          </w:p>
        </w:tc>
        <w:tc>
          <w:tcPr>
            <w:tcW w:w="1525" w:type="pct"/>
            <w:vAlign w:val="center"/>
          </w:tcPr>
          <w:p>
            <w:pPr>
              <w:ind w:firstLine="200"/>
              <w:jc w:val="center"/>
              <w:rPr>
                <w:rFonts w:asciiTheme="minorEastAsia" w:hAnsiTheme="minorEastAsia" w:eastAsiaTheme="minorEastAsia" w:cstheme="minorEastAsia"/>
                <w:sz w:val="24"/>
              </w:rPr>
            </w:pPr>
          </w:p>
        </w:tc>
      </w:tr>
    </w:tbl>
    <w:p>
      <w:pPr>
        <w:spacing w:line="360" w:lineRule="auto"/>
        <w:ind w:firstLine="437"/>
        <w:outlineLvl w:val="3"/>
        <w:rPr>
          <w:rFonts w:asciiTheme="minorEastAsia" w:hAnsiTheme="minorEastAsia" w:eastAsiaTheme="minorEastAsia" w:cstheme="minorEastAsia"/>
          <w:b/>
          <w:bCs/>
          <w:sz w:val="24"/>
          <w:lang w:val="zh-CN"/>
        </w:rPr>
      </w:pPr>
      <w:r>
        <w:rPr>
          <w:rFonts w:hint="eastAsia" w:asciiTheme="minorEastAsia" w:hAnsiTheme="minorEastAsia" w:eastAsiaTheme="minorEastAsia" w:cstheme="minorEastAsia"/>
          <w:b/>
          <w:bCs/>
          <w:sz w:val="24"/>
          <w:lang w:val="zh-CN"/>
        </w:rPr>
        <w:t>1.4 付款方式和发票开具方式</w:t>
      </w:r>
    </w:p>
    <w:p>
      <w:pPr>
        <w:spacing w:line="440" w:lineRule="exact"/>
        <w:ind w:firstLine="480" w:firstLineChars="200"/>
        <w:rPr>
          <w:rFonts w:asciiTheme="minorEastAsia" w:hAnsiTheme="minorEastAsia" w:eastAsiaTheme="minorEastAsia" w:cstheme="minorEastAsia"/>
          <w:b/>
          <w:bCs/>
          <w:sz w:val="24"/>
          <w:u w:val="single"/>
        </w:rPr>
      </w:pPr>
      <w:r>
        <w:rPr>
          <w:rFonts w:hint="eastAsia" w:asciiTheme="minorEastAsia" w:hAnsiTheme="minorEastAsia" w:eastAsiaTheme="minorEastAsia" w:cstheme="minorEastAsia"/>
          <w:sz w:val="24"/>
        </w:rPr>
        <w:t>1.4.1付款方式：</w:t>
      </w:r>
      <w:r>
        <w:rPr>
          <w:rFonts w:hint="eastAsia" w:ascii="宋体" w:hAnsi="宋体" w:cs="宋体"/>
          <w:b/>
          <w:color w:val="FF0000"/>
          <w:sz w:val="24"/>
          <w:u w:val="single"/>
        </w:rPr>
        <w:t>根据实际需要分批采购，货物经验收合格后，入库</w:t>
      </w:r>
      <w:r>
        <w:rPr>
          <w:rFonts w:hint="eastAsia" w:ascii="宋体" w:hAnsi="宋体" w:cs="宋体"/>
          <w:b/>
          <w:color w:val="FF0000"/>
          <w:sz w:val="24"/>
          <w:u w:val="single"/>
          <w:lang w:val="en-US" w:eastAsia="zh-CN"/>
        </w:rPr>
        <w:t>三</w:t>
      </w:r>
      <w:r>
        <w:rPr>
          <w:rFonts w:hint="eastAsia" w:ascii="宋体" w:hAnsi="宋体" w:cs="宋体"/>
          <w:b/>
          <w:color w:val="FF0000"/>
          <w:sz w:val="24"/>
          <w:u w:val="single"/>
        </w:rPr>
        <w:t>个月后付款（不计息）</w:t>
      </w:r>
      <w:r>
        <w:rPr>
          <w:rFonts w:hint="eastAsia" w:ascii="宋体" w:hAnsi="宋体"/>
          <w:b/>
          <w:color w:val="FF0000"/>
          <w:sz w:val="24"/>
          <w:u w:val="single"/>
        </w:rPr>
        <w:t>。</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1.4.2发票开具方式：</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w:t>
      </w:r>
    </w:p>
    <w:p>
      <w:pPr>
        <w:spacing w:line="360" w:lineRule="auto"/>
        <w:ind w:firstLine="437"/>
        <w:outlineLvl w:val="3"/>
        <w:rPr>
          <w:rFonts w:hint="eastAsia" w:asciiTheme="minorEastAsia" w:hAnsiTheme="minorEastAsia" w:eastAsiaTheme="minorEastAsia" w:cstheme="minorEastAsia"/>
          <w:b/>
          <w:bCs/>
          <w:sz w:val="24"/>
          <w:lang w:val="zh-CN"/>
        </w:rPr>
      </w:pPr>
    </w:p>
    <w:p>
      <w:pPr>
        <w:spacing w:line="360" w:lineRule="auto"/>
        <w:ind w:firstLine="437"/>
        <w:outlineLvl w:val="3"/>
        <w:rPr>
          <w:rFonts w:hint="eastAsia" w:asciiTheme="minorEastAsia" w:hAnsiTheme="minorEastAsia" w:eastAsiaTheme="minorEastAsia" w:cstheme="minorEastAsia"/>
          <w:b/>
          <w:bCs/>
          <w:sz w:val="24"/>
          <w:lang w:val="zh-CN"/>
        </w:rPr>
      </w:pPr>
    </w:p>
    <w:p>
      <w:pPr>
        <w:spacing w:line="360" w:lineRule="auto"/>
        <w:ind w:firstLine="437"/>
        <w:outlineLvl w:val="3"/>
        <w:rPr>
          <w:rFonts w:hint="eastAsia" w:asciiTheme="minorEastAsia" w:hAnsiTheme="minorEastAsia" w:eastAsiaTheme="minorEastAsia" w:cstheme="minorEastAsia"/>
          <w:b/>
          <w:bCs/>
          <w:sz w:val="24"/>
          <w:lang w:val="zh-CN"/>
        </w:rPr>
      </w:pPr>
    </w:p>
    <w:p>
      <w:pPr>
        <w:spacing w:line="360" w:lineRule="auto"/>
        <w:ind w:firstLine="437"/>
        <w:outlineLvl w:val="3"/>
        <w:rPr>
          <w:rFonts w:hint="eastAsia" w:asciiTheme="minorEastAsia" w:hAnsiTheme="minorEastAsia" w:eastAsiaTheme="minorEastAsia" w:cstheme="minorEastAsia"/>
          <w:b/>
          <w:bCs/>
          <w:sz w:val="24"/>
          <w:lang w:val="zh-CN"/>
        </w:rPr>
      </w:pPr>
    </w:p>
    <w:p>
      <w:pPr>
        <w:spacing w:line="360" w:lineRule="auto"/>
        <w:ind w:firstLine="437"/>
        <w:outlineLvl w:val="3"/>
        <w:rPr>
          <w:rFonts w:asciiTheme="minorEastAsia" w:hAnsiTheme="minorEastAsia" w:eastAsiaTheme="minorEastAsia" w:cstheme="minorEastAsia"/>
          <w:b/>
          <w:bCs/>
          <w:sz w:val="24"/>
          <w:lang w:val="zh-CN"/>
        </w:rPr>
      </w:pPr>
      <w:r>
        <w:rPr>
          <w:rFonts w:hint="eastAsia" w:asciiTheme="minorEastAsia" w:hAnsiTheme="minorEastAsia" w:eastAsiaTheme="minorEastAsia" w:cstheme="minorEastAsia"/>
          <w:b/>
          <w:bCs/>
          <w:sz w:val="24"/>
          <w:lang w:val="zh-CN"/>
        </w:rPr>
        <w:t>1.5 服务期限、地点和方式</w:t>
      </w:r>
    </w:p>
    <w:p>
      <w:pPr>
        <w:spacing w:line="360" w:lineRule="auto"/>
        <w:ind w:firstLine="435"/>
      </w:pPr>
      <w:r>
        <w:rPr>
          <w:rFonts w:hint="eastAsia" w:asciiTheme="minorEastAsia" w:hAnsiTheme="minorEastAsia" w:eastAsiaTheme="minorEastAsia" w:cstheme="minorEastAsia"/>
          <w:sz w:val="24"/>
        </w:rPr>
        <w:t>1.5.1服务期限：</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u w:val="single"/>
          <w:lang w:val="en-US" w:eastAsia="zh-CN"/>
        </w:rPr>
        <w:t>一年</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u w:val="single"/>
          <w:lang w:eastAsia="zh-CN"/>
        </w:rPr>
        <w:t>；</w:t>
      </w:r>
      <w:r>
        <w:rPr>
          <w:rFonts w:hint="eastAsia" w:asciiTheme="minorEastAsia" w:hAnsiTheme="minorEastAsia" w:eastAsiaTheme="minorEastAsia" w:cstheme="minorEastAsia"/>
          <w:sz w:val="24"/>
          <w:lang w:eastAsia="zh-CN"/>
        </w:rPr>
        <w:t>合同</w:t>
      </w:r>
      <w:r>
        <w:rPr>
          <w:rFonts w:hint="eastAsia" w:asciiTheme="minorEastAsia" w:hAnsiTheme="minorEastAsia" w:eastAsiaTheme="minorEastAsia" w:cstheme="minorEastAsia"/>
          <w:sz w:val="24"/>
        </w:rPr>
        <w:t>周期内如遇国家政策变更，必须做出相应调整以符合国家政策</w:t>
      </w:r>
      <w:r>
        <w:rPr>
          <w:rFonts w:hint="eastAsia" w:ascii="仿宋_GB2312" w:hAnsi="宋体" w:eastAsia="仿宋_GB2312" w:cs="宋体"/>
          <w:sz w:val="28"/>
          <w:szCs w:val="28"/>
        </w:rPr>
        <w:t>。</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1.5.2服务地点：</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1.5.3服务方式：</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w:t>
      </w:r>
    </w:p>
    <w:p>
      <w:pPr>
        <w:spacing w:line="360" w:lineRule="auto"/>
        <w:ind w:firstLine="437"/>
        <w:outlineLvl w:val="3"/>
        <w:rPr>
          <w:rFonts w:asciiTheme="minorEastAsia" w:hAnsiTheme="minorEastAsia" w:eastAsiaTheme="minorEastAsia" w:cstheme="minorEastAsia"/>
          <w:b/>
          <w:bCs/>
          <w:sz w:val="24"/>
          <w:lang w:val="zh-CN"/>
        </w:rPr>
      </w:pPr>
      <w:r>
        <w:rPr>
          <w:rFonts w:hint="eastAsia" w:asciiTheme="minorEastAsia" w:hAnsiTheme="minorEastAsia" w:eastAsiaTheme="minorEastAsia" w:cstheme="minorEastAsia"/>
          <w:b/>
          <w:bCs/>
          <w:sz w:val="24"/>
          <w:lang w:val="zh-CN"/>
        </w:rPr>
        <w:t>1.6 违约责任</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1.6.1除不可抗力外，如果乙方没有按照本合同约定的期限、地点和方式履行，那么甲方可要求乙方支付违约金，违约金按每迟延履行一日的应提供而未提供服务价格的</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%计算，最高限额为本合同总价的</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%；迟延履行的违约金计算数额达到前述最高限额之日起，甲方有权在要求乙方支付违约金的同时，书面通知乙方解除本合同；</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1.6.2除不可抗力外，如果甲方没有按照本合同约定的付款方式付款，那么乙方可要求甲方支付违约金，违约金按每迟延付款一日的应付而未付款的</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%计算，最高限额为本合同总价的</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%；迟延付款的违约金计算数额达到前述最高限额之日起，乙方有权在要求甲方支付违约金的同时，书面通知甲方解除本合同；</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1.6.3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1.6.4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1.6.5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1.6.6如果出现政府采购监督管理部门在处理投诉事项期间，书面通知甲方暂停采购活动的情形，或者询问或质疑事项可能影响中标结果的，导致甲方中止履行合同的情形，均不视为甲方违约。</w:t>
      </w:r>
    </w:p>
    <w:p>
      <w:pPr>
        <w:spacing w:line="360" w:lineRule="auto"/>
        <w:ind w:firstLine="437"/>
        <w:outlineLvl w:val="3"/>
        <w:rPr>
          <w:rFonts w:asciiTheme="minorEastAsia" w:hAnsiTheme="minorEastAsia" w:eastAsiaTheme="minorEastAsia" w:cstheme="minorEastAsia"/>
          <w:b/>
          <w:bCs/>
          <w:sz w:val="24"/>
          <w:lang w:val="zh-CN"/>
        </w:rPr>
      </w:pPr>
      <w:r>
        <w:rPr>
          <w:rFonts w:hint="eastAsia" w:asciiTheme="minorEastAsia" w:hAnsiTheme="minorEastAsia" w:eastAsiaTheme="minorEastAsia" w:cstheme="minorEastAsia"/>
          <w:b/>
          <w:bCs/>
          <w:sz w:val="24"/>
          <w:lang w:val="zh-CN"/>
        </w:rPr>
        <w:t>1.7 合同争议的解决</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本合同如发生争议，买卖双方应当及时协商解决，协商不成时，按以下第（①）项方式处理：①根据《中华人民共和国仲裁法》的规定向 安庆仲裁委员会 申请仲裁。②向________人民法院起诉。</w:t>
      </w:r>
    </w:p>
    <w:p>
      <w:pPr>
        <w:spacing w:line="360" w:lineRule="auto"/>
        <w:ind w:firstLine="437"/>
        <w:outlineLvl w:val="3"/>
        <w:rPr>
          <w:rFonts w:asciiTheme="minorEastAsia" w:hAnsiTheme="minorEastAsia" w:eastAsiaTheme="minorEastAsia" w:cstheme="minorEastAsia"/>
          <w:b/>
          <w:bCs/>
          <w:sz w:val="24"/>
          <w:lang w:val="zh-CN"/>
        </w:rPr>
      </w:pPr>
      <w:r>
        <w:rPr>
          <w:rFonts w:hint="eastAsia" w:asciiTheme="minorEastAsia" w:hAnsiTheme="minorEastAsia" w:eastAsiaTheme="minorEastAsia" w:cstheme="minorEastAsia"/>
          <w:b/>
          <w:bCs/>
          <w:sz w:val="24"/>
          <w:lang w:val="zh-CN"/>
        </w:rPr>
        <w:t>1.8 合同生效</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本合同自双方当事人盖章时生效。</w:t>
      </w:r>
    </w:p>
    <w:p>
      <w:pPr>
        <w:autoSpaceDE w:val="0"/>
        <w:autoSpaceDN w:val="0"/>
        <w:adjustRightInd w:val="0"/>
        <w:spacing w:line="560" w:lineRule="exact"/>
        <w:rPr>
          <w:rFonts w:asciiTheme="minorEastAsia" w:hAnsiTheme="minorEastAsia" w:eastAsiaTheme="minorEastAsia" w:cstheme="minorEastAsia"/>
          <w:sz w:val="24"/>
          <w:lang w:val="zh-CN"/>
        </w:rPr>
      </w:pPr>
    </w:p>
    <w:p>
      <w:pPr>
        <w:autoSpaceDE w:val="0"/>
        <w:autoSpaceDN w:val="0"/>
        <w:adjustRightInd w:val="0"/>
        <w:spacing w:line="560" w:lineRule="exact"/>
        <w:rPr>
          <w:rFonts w:asciiTheme="minorEastAsia" w:hAnsiTheme="minorEastAsia" w:eastAsiaTheme="minorEastAsia" w:cstheme="minorEastAsia"/>
          <w:sz w:val="24"/>
          <w:lang w:val="zh-CN"/>
        </w:rPr>
      </w:pPr>
    </w:p>
    <w:p>
      <w:pPr>
        <w:autoSpaceDE w:val="0"/>
        <w:autoSpaceDN w:val="0"/>
        <w:adjustRightInd w:val="0"/>
        <w:spacing w:line="560" w:lineRule="exact"/>
        <w:rPr>
          <w:rFonts w:asciiTheme="minorEastAsia" w:hAnsiTheme="minorEastAsia" w:eastAsiaTheme="minorEastAsia" w:cstheme="minorEastAsia"/>
          <w:sz w:val="24"/>
          <w:lang w:val="zh-CN"/>
        </w:rPr>
      </w:pPr>
    </w:p>
    <w:p>
      <w:pPr>
        <w:autoSpaceDE w:val="0"/>
        <w:autoSpaceDN w:val="0"/>
        <w:adjustRightInd w:val="0"/>
        <w:spacing w:line="560" w:lineRule="exact"/>
        <w:rPr>
          <w:rFonts w:asciiTheme="minorEastAsia" w:hAnsiTheme="minorEastAsia" w:eastAsiaTheme="minorEastAsia" w:cstheme="minorEastAsia"/>
          <w:bCs/>
          <w:sz w:val="24"/>
          <w:lang w:val="zh-CN"/>
        </w:rPr>
      </w:pPr>
      <w:r>
        <w:rPr>
          <w:rFonts w:hint="eastAsia" w:asciiTheme="minorEastAsia" w:hAnsiTheme="minorEastAsia" w:eastAsiaTheme="minorEastAsia" w:cstheme="minorEastAsia"/>
          <w:bCs/>
          <w:sz w:val="24"/>
          <w:lang w:val="zh-CN"/>
        </w:rPr>
        <w:t>甲    方：</w:t>
      </w:r>
      <w:r>
        <w:rPr>
          <w:rFonts w:hint="eastAsia" w:asciiTheme="minorEastAsia" w:hAnsiTheme="minorEastAsia" w:eastAsiaTheme="minorEastAsia" w:cstheme="minorEastAsia"/>
          <w:bCs/>
          <w:sz w:val="24"/>
          <w:u w:val="single"/>
          <w:lang w:val="zh-CN"/>
        </w:rPr>
        <w:t xml:space="preserve">    （单位盖章）     </w:t>
      </w:r>
      <w:r>
        <w:rPr>
          <w:rFonts w:hint="eastAsia" w:asciiTheme="minorEastAsia" w:hAnsiTheme="minorEastAsia" w:eastAsiaTheme="minorEastAsia" w:cstheme="minorEastAsia"/>
          <w:bCs/>
          <w:sz w:val="24"/>
          <w:lang w:val="zh-CN"/>
        </w:rPr>
        <w:t xml:space="preserve">        乙方：</w:t>
      </w:r>
      <w:r>
        <w:rPr>
          <w:rFonts w:hint="eastAsia" w:asciiTheme="minorEastAsia" w:hAnsiTheme="minorEastAsia" w:eastAsiaTheme="minorEastAsia" w:cstheme="minorEastAsia"/>
          <w:bCs/>
          <w:sz w:val="24"/>
          <w:u w:val="single"/>
          <w:lang w:val="zh-CN"/>
        </w:rPr>
        <w:t xml:space="preserve">    （单位盖章）     </w:t>
      </w:r>
    </w:p>
    <w:p>
      <w:pPr>
        <w:autoSpaceDE w:val="0"/>
        <w:autoSpaceDN w:val="0"/>
        <w:adjustRightInd w:val="0"/>
        <w:spacing w:line="560" w:lineRule="exact"/>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法定代表人                             法定代表人</w:t>
      </w:r>
    </w:p>
    <w:p>
      <w:pPr>
        <w:autoSpaceDE w:val="0"/>
        <w:autoSpaceDN w:val="0"/>
        <w:adjustRightInd w:val="0"/>
        <w:spacing w:line="560" w:lineRule="exact"/>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或授权代表（签字）：                   或授权代表（签字）：</w:t>
      </w:r>
    </w:p>
    <w:p>
      <w:pPr>
        <w:widowControl/>
        <w:spacing w:line="560" w:lineRule="exact"/>
        <w:jc w:val="lef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时间：</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rPr>
        <w:t>年</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rPr>
        <w:t>月</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rPr>
        <w:t>日             时间：</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rPr>
        <w:t>年</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rPr>
        <w:t>月</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rPr>
        <w:t>日</w:t>
      </w:r>
    </w:p>
    <w:p>
      <w:pPr>
        <w:widowControl/>
        <w:jc w:val="left"/>
        <w:rPr>
          <w:rFonts w:asciiTheme="minorEastAsia" w:hAnsiTheme="minorEastAsia" w:eastAsiaTheme="minorEastAsia" w:cstheme="minorEastAsia"/>
          <w:b/>
          <w:sz w:val="24"/>
        </w:rPr>
      </w:pPr>
    </w:p>
    <w:p>
      <w:pPr>
        <w:widowControl/>
        <w:jc w:val="left"/>
        <w:rPr>
          <w:rFonts w:asciiTheme="minorEastAsia" w:hAnsiTheme="minorEastAsia" w:eastAsiaTheme="minorEastAsia" w:cstheme="minorEastAsia"/>
          <w:b/>
          <w:sz w:val="24"/>
        </w:rPr>
      </w:pPr>
    </w:p>
    <w:p>
      <w:pPr>
        <w:widowControl/>
        <w:jc w:val="lef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br w:type="page"/>
      </w:r>
    </w:p>
    <w:p>
      <w:pPr>
        <w:spacing w:line="360" w:lineRule="auto"/>
        <w:jc w:val="center"/>
        <w:outlineLvl w:val="2"/>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第二部分 合同一般条款</w:t>
      </w:r>
    </w:p>
    <w:p>
      <w:pPr>
        <w:spacing w:line="360" w:lineRule="auto"/>
        <w:ind w:firstLine="437"/>
        <w:outlineLvl w:val="3"/>
        <w:rPr>
          <w:rFonts w:asciiTheme="minorEastAsia" w:hAnsiTheme="minorEastAsia" w:eastAsiaTheme="minorEastAsia" w:cstheme="minorEastAsia"/>
          <w:b/>
          <w:bCs/>
          <w:sz w:val="24"/>
          <w:lang w:val="zh-CN"/>
        </w:rPr>
      </w:pPr>
      <w:r>
        <w:rPr>
          <w:rFonts w:hint="eastAsia" w:asciiTheme="minorEastAsia" w:hAnsiTheme="minorEastAsia" w:eastAsiaTheme="minorEastAsia" w:cstheme="minorEastAsia"/>
          <w:b/>
          <w:bCs/>
          <w:sz w:val="24"/>
          <w:lang w:val="zh-CN"/>
        </w:rPr>
        <w:t>2.1 定义</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本合同中的下列词语应按以下内容进行解释：</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2.1.1“合同”系指采购人和中标人签订的载明双方当事人所达成的协议，并包括所有的附件、附录和构成合同的其他文件。</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2.1.2“合同价”系指根据合同约定，中标人在完全履行合同义务后，采购人应支付给中标人的价格。</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2.1.3“服务”系指中标人根据合同约定应向采购人履行的除货物和工程以外的其他政府采购对象，包括采购人自身需要的服务和向社会公众提供的公共服务。</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2.1.4“甲方”系指与中标人签署合同的采购人；采购人委托采购代理机构代表其与乙方签订合同的，采购人的授权委托书作为合同附件。</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2.1.5“乙方”系指根据合同约定提供服务的中标人；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2.1.6“现场”系指合同约定提供服务的地点。</w:t>
      </w:r>
    </w:p>
    <w:p>
      <w:pPr>
        <w:spacing w:line="360" w:lineRule="auto"/>
        <w:ind w:firstLine="437"/>
        <w:outlineLvl w:val="3"/>
        <w:rPr>
          <w:rFonts w:asciiTheme="minorEastAsia" w:hAnsiTheme="minorEastAsia" w:eastAsiaTheme="minorEastAsia" w:cstheme="minorEastAsia"/>
          <w:b/>
          <w:bCs/>
          <w:sz w:val="24"/>
          <w:lang w:val="zh-CN"/>
        </w:rPr>
      </w:pPr>
      <w:r>
        <w:rPr>
          <w:rFonts w:hint="eastAsia" w:asciiTheme="minorEastAsia" w:hAnsiTheme="minorEastAsia" w:eastAsiaTheme="minorEastAsia" w:cstheme="minorEastAsia"/>
          <w:b/>
          <w:bCs/>
          <w:sz w:val="24"/>
          <w:lang w:val="zh-CN"/>
        </w:rPr>
        <w:t>2.2 技术规范</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360" w:lineRule="auto"/>
        <w:ind w:firstLine="437"/>
        <w:outlineLvl w:val="3"/>
        <w:rPr>
          <w:rFonts w:asciiTheme="minorEastAsia" w:hAnsiTheme="minorEastAsia" w:eastAsiaTheme="minorEastAsia" w:cstheme="minorEastAsia"/>
          <w:b/>
          <w:bCs/>
          <w:sz w:val="24"/>
          <w:lang w:val="zh-CN"/>
        </w:rPr>
      </w:pPr>
      <w:r>
        <w:rPr>
          <w:rFonts w:hint="eastAsia" w:asciiTheme="minorEastAsia" w:hAnsiTheme="minorEastAsia" w:eastAsiaTheme="minorEastAsia" w:cstheme="minorEastAsia"/>
          <w:b/>
          <w:bCs/>
          <w:sz w:val="24"/>
          <w:lang w:val="zh-CN"/>
        </w:rPr>
        <w:t>2.3 知识产权</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2.3.1乙方应保证其提供的服务不受任何第三方提出的侵犯其著作权、商标权、专利权等知识产权方面的起诉；如果任何第三方提出侵权指控，那么乙方须与该第三方交涉并承担由此发生的一切责任、费用和赔偿；</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2.3.2具有知识产权的计算机软件等货物的知识产权归属，详见</w:t>
      </w:r>
      <w:r>
        <w:rPr>
          <w:rFonts w:hint="eastAsia" w:asciiTheme="minorEastAsia" w:hAnsiTheme="minorEastAsia" w:eastAsiaTheme="minorEastAsia" w:cstheme="minorEastAsia"/>
          <w:b/>
          <w:i/>
          <w:sz w:val="24"/>
          <w:u w:val="single"/>
        </w:rPr>
        <w:t>合同专用条款</w:t>
      </w:r>
      <w:r>
        <w:rPr>
          <w:rFonts w:hint="eastAsia" w:asciiTheme="minorEastAsia" w:hAnsiTheme="minorEastAsia" w:eastAsiaTheme="minorEastAsia" w:cstheme="minorEastAsia"/>
          <w:sz w:val="24"/>
        </w:rPr>
        <w:t>。</w:t>
      </w:r>
    </w:p>
    <w:p>
      <w:pPr>
        <w:spacing w:line="360" w:lineRule="auto"/>
        <w:ind w:firstLine="437"/>
        <w:outlineLvl w:val="3"/>
        <w:rPr>
          <w:rFonts w:asciiTheme="minorEastAsia" w:hAnsiTheme="minorEastAsia" w:eastAsiaTheme="minorEastAsia" w:cstheme="minorEastAsia"/>
          <w:b/>
          <w:bCs/>
          <w:sz w:val="24"/>
          <w:lang w:val="zh-CN"/>
        </w:rPr>
      </w:pPr>
      <w:r>
        <w:rPr>
          <w:rFonts w:hint="eastAsia" w:asciiTheme="minorEastAsia" w:hAnsiTheme="minorEastAsia" w:eastAsiaTheme="minorEastAsia" w:cstheme="minorEastAsia"/>
          <w:b/>
          <w:bCs/>
          <w:sz w:val="24"/>
          <w:lang w:val="zh-CN"/>
        </w:rPr>
        <w:t>2.4 履约检查和问题反馈</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2.4.1甲方有权在其认为必要时，对乙方是否能够按照合同约定提供服务进行履约检查，以确保乙方所提供的服务能够依约满足甲方项目需求，但不得因履约检查妨碍乙方的正常工作，乙方应予积极配合；</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2.4.2合同履行期间，甲方有权将履行过程中出现的问题反馈给乙方，双方当事人应以书面形式约定需要完善和改进的内容。</w:t>
      </w:r>
    </w:p>
    <w:p>
      <w:pPr>
        <w:spacing w:line="360" w:lineRule="auto"/>
        <w:ind w:firstLine="437"/>
        <w:outlineLvl w:val="3"/>
        <w:rPr>
          <w:rFonts w:asciiTheme="minorEastAsia" w:hAnsiTheme="minorEastAsia" w:eastAsiaTheme="minorEastAsia" w:cstheme="minorEastAsia"/>
          <w:b/>
          <w:bCs/>
          <w:sz w:val="24"/>
          <w:lang w:val="zh-CN"/>
        </w:rPr>
      </w:pPr>
      <w:r>
        <w:rPr>
          <w:rFonts w:hint="eastAsia" w:asciiTheme="minorEastAsia" w:hAnsiTheme="minorEastAsia" w:eastAsiaTheme="minorEastAsia" w:cstheme="minorEastAsia"/>
          <w:b/>
          <w:bCs/>
          <w:sz w:val="24"/>
          <w:lang w:val="zh-CN"/>
        </w:rPr>
        <w:t>2.5 结算方式和付款条件</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详见</w:t>
      </w:r>
      <w:r>
        <w:rPr>
          <w:rFonts w:hint="eastAsia" w:asciiTheme="minorEastAsia" w:hAnsiTheme="minorEastAsia" w:eastAsiaTheme="minorEastAsia" w:cstheme="minorEastAsia"/>
          <w:b/>
          <w:i/>
          <w:sz w:val="24"/>
          <w:u w:val="single"/>
        </w:rPr>
        <w:t>合同专用条款</w:t>
      </w:r>
      <w:r>
        <w:rPr>
          <w:rFonts w:hint="eastAsia" w:asciiTheme="minorEastAsia" w:hAnsiTheme="minorEastAsia" w:eastAsiaTheme="minorEastAsia" w:cstheme="minorEastAsia"/>
          <w:sz w:val="24"/>
        </w:rPr>
        <w:t>。</w:t>
      </w:r>
    </w:p>
    <w:p>
      <w:pPr>
        <w:spacing w:line="360" w:lineRule="auto"/>
        <w:ind w:firstLine="437"/>
        <w:outlineLvl w:val="3"/>
        <w:rPr>
          <w:rFonts w:asciiTheme="minorEastAsia" w:hAnsiTheme="minorEastAsia" w:eastAsiaTheme="minorEastAsia" w:cstheme="minorEastAsia"/>
          <w:b/>
          <w:bCs/>
          <w:sz w:val="24"/>
          <w:lang w:val="zh-CN"/>
        </w:rPr>
      </w:pPr>
      <w:r>
        <w:rPr>
          <w:rFonts w:hint="eastAsia" w:asciiTheme="minorEastAsia" w:hAnsiTheme="minorEastAsia" w:eastAsiaTheme="minorEastAsia" w:cstheme="minorEastAsia"/>
          <w:b/>
          <w:bCs/>
          <w:sz w:val="24"/>
          <w:lang w:val="zh-CN"/>
        </w:rPr>
        <w:t>2.6 技术资料和保密义务</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2.6.1乙方有权依据合同约定和项目需要，向甲方了解有关情况，调阅有关资料等，甲方应予积极配合；</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2.6.2乙方有义务妥善保管和保护由甲方提供的前款信息和资料等；</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2.6.3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360" w:lineRule="auto"/>
        <w:ind w:firstLine="437"/>
        <w:outlineLvl w:val="3"/>
        <w:rPr>
          <w:rFonts w:asciiTheme="minorEastAsia" w:hAnsiTheme="minorEastAsia" w:eastAsiaTheme="minorEastAsia" w:cstheme="minorEastAsia"/>
          <w:b/>
          <w:bCs/>
          <w:sz w:val="24"/>
          <w:lang w:val="zh-CN"/>
        </w:rPr>
      </w:pPr>
      <w:r>
        <w:rPr>
          <w:rFonts w:hint="eastAsia" w:asciiTheme="minorEastAsia" w:hAnsiTheme="minorEastAsia" w:eastAsiaTheme="minorEastAsia" w:cstheme="minorEastAsia"/>
          <w:b/>
          <w:bCs/>
          <w:sz w:val="24"/>
          <w:lang w:val="zh-CN"/>
        </w:rPr>
        <w:t>2.7 质量保证</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2.7.1乙方应建立和完善履行合同的内部质量保证体系，并提供相关内部规章制度给甲方，以便甲方进行监督检查；</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2.7.2乙方应保证履行合同的人员数量和素质、软件和硬件设备的配置、场地、环境和设施等满足全面履行合同的要求，并应接受甲方的监督检查。</w:t>
      </w:r>
    </w:p>
    <w:p>
      <w:pPr>
        <w:spacing w:line="360" w:lineRule="auto"/>
        <w:ind w:firstLine="437"/>
        <w:outlineLvl w:val="3"/>
        <w:rPr>
          <w:rFonts w:asciiTheme="minorEastAsia" w:hAnsiTheme="minorEastAsia" w:eastAsiaTheme="minorEastAsia" w:cstheme="minorEastAsia"/>
          <w:b/>
          <w:sz w:val="24"/>
        </w:rPr>
      </w:pPr>
      <w:bookmarkStart w:id="99" w:name="_Toc22267"/>
      <w:r>
        <w:rPr>
          <w:rFonts w:hint="eastAsia" w:asciiTheme="minorEastAsia" w:hAnsiTheme="minorEastAsia" w:eastAsiaTheme="minorEastAsia" w:cstheme="minorEastAsia"/>
          <w:b/>
          <w:sz w:val="24"/>
        </w:rPr>
        <w:t>2.8 延迟履行</w:t>
      </w:r>
      <w:bookmarkEnd w:id="99"/>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在合同履行过程中，如果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360" w:lineRule="auto"/>
        <w:ind w:firstLine="437"/>
        <w:outlineLvl w:val="3"/>
        <w:rPr>
          <w:rFonts w:asciiTheme="minorEastAsia" w:hAnsiTheme="minorEastAsia" w:eastAsiaTheme="minorEastAsia" w:cstheme="minorEastAsia"/>
          <w:b/>
          <w:bCs/>
          <w:sz w:val="24"/>
          <w:lang w:val="zh-CN"/>
        </w:rPr>
      </w:pPr>
      <w:r>
        <w:rPr>
          <w:rFonts w:hint="eastAsia" w:asciiTheme="minorEastAsia" w:hAnsiTheme="minorEastAsia" w:eastAsiaTheme="minorEastAsia" w:cstheme="minorEastAsia"/>
          <w:b/>
          <w:bCs/>
          <w:sz w:val="24"/>
          <w:lang w:val="zh-CN"/>
        </w:rPr>
        <w:t>2.9 合同变更</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2.9.1双方当事人协商一致，可以签订书面补充合同的形式变更合同，但不得违背采购文件确定的事项；</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2.9.2合同继续履行将损害国家利益和社会公共利益的，双方当事人应当以书面形式变更合同。有过错的一方应当承担赔偿责任，双方当事人都有过错的，各自承担相应的责任。</w:t>
      </w:r>
    </w:p>
    <w:p>
      <w:pPr>
        <w:spacing w:line="360" w:lineRule="auto"/>
        <w:ind w:firstLine="437"/>
        <w:outlineLvl w:val="3"/>
        <w:rPr>
          <w:rFonts w:asciiTheme="minorEastAsia" w:hAnsiTheme="minorEastAsia" w:eastAsiaTheme="minorEastAsia" w:cstheme="minorEastAsia"/>
          <w:b/>
          <w:bCs/>
          <w:sz w:val="24"/>
          <w:lang w:val="zh-CN"/>
        </w:rPr>
      </w:pPr>
      <w:r>
        <w:rPr>
          <w:rFonts w:hint="eastAsia" w:asciiTheme="minorEastAsia" w:hAnsiTheme="minorEastAsia" w:eastAsiaTheme="minorEastAsia" w:cstheme="minorEastAsia"/>
          <w:b/>
          <w:bCs/>
          <w:sz w:val="24"/>
          <w:lang w:val="zh-CN"/>
        </w:rPr>
        <w:t>2.10 合同转让和分包</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firstLine="437"/>
        <w:outlineLvl w:val="3"/>
        <w:rPr>
          <w:rFonts w:asciiTheme="minorEastAsia" w:hAnsiTheme="minorEastAsia" w:eastAsiaTheme="minorEastAsia" w:cstheme="minorEastAsia"/>
          <w:b/>
          <w:bCs/>
          <w:sz w:val="24"/>
          <w:lang w:val="zh-CN"/>
        </w:rPr>
      </w:pPr>
      <w:r>
        <w:rPr>
          <w:rFonts w:hint="eastAsia" w:asciiTheme="minorEastAsia" w:hAnsiTheme="minorEastAsia" w:eastAsiaTheme="minorEastAsia" w:cstheme="minorEastAsia"/>
          <w:b/>
          <w:bCs/>
          <w:sz w:val="24"/>
          <w:lang w:val="zh-CN"/>
        </w:rPr>
        <w:t>2.11 不可抗力</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2.11.1如果任何一方遭遇法律规定的不可抗力，致使合同履行受阻时，履行合同的期限应予延长，延长的期限应相当于不可抗力所影响的时间；</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2.11.2因不可抗力致使不能实现合同目的的，当事人可以解除合同；</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2.11.3因不可抗力致使合同有变更必要的，双方当事人应在</w:t>
      </w:r>
      <w:r>
        <w:rPr>
          <w:rFonts w:hint="eastAsia" w:asciiTheme="minorEastAsia" w:hAnsiTheme="minorEastAsia" w:eastAsiaTheme="minorEastAsia" w:cstheme="minorEastAsia"/>
          <w:b/>
          <w:i/>
          <w:sz w:val="24"/>
          <w:u w:val="single"/>
        </w:rPr>
        <w:t>合同专用条款</w:t>
      </w:r>
      <w:r>
        <w:rPr>
          <w:rFonts w:hint="eastAsia" w:asciiTheme="minorEastAsia" w:hAnsiTheme="minorEastAsia" w:eastAsiaTheme="minorEastAsia" w:cstheme="minorEastAsia"/>
          <w:sz w:val="24"/>
        </w:rPr>
        <w:t>约定时间内以书面形式变更合同；</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2.11.4受不可抗力影响的一方在不可抗力发生后，应在</w:t>
      </w:r>
      <w:r>
        <w:rPr>
          <w:rFonts w:hint="eastAsia" w:asciiTheme="minorEastAsia" w:hAnsiTheme="minorEastAsia" w:eastAsiaTheme="minorEastAsia" w:cstheme="minorEastAsia"/>
          <w:b/>
          <w:i/>
          <w:sz w:val="24"/>
          <w:u w:val="single"/>
        </w:rPr>
        <w:t>合同专用条款</w:t>
      </w:r>
      <w:r>
        <w:rPr>
          <w:rFonts w:hint="eastAsia" w:asciiTheme="minorEastAsia" w:hAnsiTheme="minorEastAsia" w:eastAsiaTheme="minorEastAsia" w:cstheme="minorEastAsia"/>
          <w:sz w:val="24"/>
        </w:rPr>
        <w:t>约定时间内以书面形式通知对方当事人，并在</w:t>
      </w:r>
      <w:r>
        <w:rPr>
          <w:rFonts w:hint="eastAsia" w:asciiTheme="minorEastAsia" w:hAnsiTheme="minorEastAsia" w:eastAsiaTheme="minorEastAsia" w:cstheme="minorEastAsia"/>
          <w:b/>
          <w:i/>
          <w:sz w:val="24"/>
          <w:u w:val="single"/>
        </w:rPr>
        <w:t>合同专用条款</w:t>
      </w:r>
      <w:r>
        <w:rPr>
          <w:rFonts w:hint="eastAsia" w:asciiTheme="minorEastAsia" w:hAnsiTheme="minorEastAsia" w:eastAsiaTheme="minorEastAsia" w:cstheme="minorEastAsia"/>
          <w:sz w:val="24"/>
        </w:rPr>
        <w:t>约定时间内，将有关部门出具的证明文件送达对方当事人。</w:t>
      </w:r>
    </w:p>
    <w:p>
      <w:pPr>
        <w:spacing w:line="360" w:lineRule="auto"/>
        <w:ind w:firstLine="437"/>
        <w:outlineLvl w:val="3"/>
        <w:rPr>
          <w:rFonts w:asciiTheme="minorEastAsia" w:hAnsiTheme="minorEastAsia" w:eastAsiaTheme="minorEastAsia" w:cstheme="minorEastAsia"/>
          <w:b/>
          <w:bCs/>
          <w:sz w:val="24"/>
          <w:lang w:val="zh-CN"/>
        </w:rPr>
      </w:pPr>
      <w:r>
        <w:rPr>
          <w:rFonts w:hint="eastAsia" w:asciiTheme="minorEastAsia" w:hAnsiTheme="minorEastAsia" w:eastAsiaTheme="minorEastAsia" w:cstheme="minorEastAsia"/>
          <w:b/>
          <w:bCs/>
          <w:sz w:val="24"/>
          <w:lang w:val="zh-CN"/>
        </w:rPr>
        <w:t>2.12 税费</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与合同有关的一切税费，均按照中华人民共和国法律的相关规定缴纳。</w:t>
      </w:r>
    </w:p>
    <w:p>
      <w:pPr>
        <w:spacing w:line="360" w:lineRule="auto"/>
        <w:ind w:firstLine="437"/>
        <w:outlineLvl w:val="3"/>
        <w:rPr>
          <w:rFonts w:asciiTheme="minorEastAsia" w:hAnsiTheme="minorEastAsia" w:eastAsiaTheme="minorEastAsia" w:cstheme="minorEastAsia"/>
          <w:b/>
          <w:bCs/>
          <w:sz w:val="24"/>
          <w:lang w:val="zh-CN"/>
        </w:rPr>
      </w:pPr>
      <w:r>
        <w:rPr>
          <w:rFonts w:hint="eastAsia" w:asciiTheme="minorEastAsia" w:hAnsiTheme="minorEastAsia" w:eastAsiaTheme="minorEastAsia" w:cstheme="minorEastAsia"/>
          <w:b/>
          <w:bCs/>
          <w:sz w:val="24"/>
          <w:lang w:val="zh-CN"/>
        </w:rPr>
        <w:t>2.13 乙方破产</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uto"/>
        <w:ind w:firstLine="437"/>
        <w:outlineLvl w:val="3"/>
        <w:rPr>
          <w:rFonts w:asciiTheme="minorEastAsia" w:hAnsiTheme="minorEastAsia" w:eastAsiaTheme="minorEastAsia" w:cstheme="minorEastAsia"/>
          <w:b/>
          <w:sz w:val="24"/>
        </w:rPr>
      </w:pPr>
      <w:r>
        <w:rPr>
          <w:rFonts w:hint="eastAsia" w:asciiTheme="minorEastAsia" w:hAnsiTheme="minorEastAsia" w:eastAsiaTheme="minorEastAsia" w:cstheme="minorEastAsia"/>
          <w:b/>
          <w:bCs/>
          <w:sz w:val="24"/>
          <w:lang w:val="zh-CN"/>
        </w:rPr>
        <w:t>2.14 合同中止、终止</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2.14.1双方当事人不得擅自中止或者终止合同；</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2.14.2合同继续履行将损害国家利益和社会公共利益的，双方当事人应当中止或者终止合同。有过错的一方应当承担赔偿责任，双方当事人都有过错的，各自承担相应的责任。</w:t>
      </w:r>
    </w:p>
    <w:p>
      <w:pPr>
        <w:spacing w:line="360" w:lineRule="auto"/>
        <w:ind w:firstLine="437"/>
        <w:outlineLvl w:val="3"/>
        <w:rPr>
          <w:rFonts w:asciiTheme="minorEastAsia" w:hAnsiTheme="minorEastAsia" w:eastAsiaTheme="minorEastAsia" w:cstheme="minorEastAsia"/>
          <w:b/>
          <w:bCs/>
          <w:sz w:val="24"/>
          <w:lang w:val="zh-CN"/>
        </w:rPr>
      </w:pPr>
      <w:r>
        <w:rPr>
          <w:rFonts w:hint="eastAsia" w:asciiTheme="minorEastAsia" w:hAnsiTheme="minorEastAsia" w:eastAsiaTheme="minorEastAsia" w:cstheme="minorEastAsia"/>
          <w:b/>
          <w:bCs/>
          <w:sz w:val="24"/>
          <w:lang w:val="zh-CN"/>
        </w:rPr>
        <w:t>2.15 检验和验收</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2.15.1乙方按照</w:t>
      </w:r>
      <w:r>
        <w:rPr>
          <w:rFonts w:hint="eastAsia" w:asciiTheme="minorEastAsia" w:hAnsiTheme="minorEastAsia" w:eastAsiaTheme="minorEastAsia" w:cstheme="minorEastAsia"/>
          <w:b/>
          <w:i/>
          <w:sz w:val="24"/>
          <w:u w:val="single"/>
        </w:rPr>
        <w:t>合同专用条款</w:t>
      </w:r>
      <w:r>
        <w:rPr>
          <w:rFonts w:hint="eastAsia" w:asciiTheme="minorEastAsia" w:hAnsiTheme="minorEastAsia" w:eastAsiaTheme="minorEastAsia" w:cstheme="minorEastAsia"/>
          <w:sz w:val="24"/>
        </w:rPr>
        <w:t>的约定，定期提交服务报告，甲方按照</w:t>
      </w:r>
      <w:r>
        <w:rPr>
          <w:rFonts w:hint="eastAsia" w:asciiTheme="minorEastAsia" w:hAnsiTheme="minorEastAsia" w:eastAsiaTheme="minorEastAsia" w:cstheme="minorEastAsia"/>
          <w:b/>
          <w:i/>
          <w:sz w:val="24"/>
          <w:u w:val="single"/>
        </w:rPr>
        <w:t>合同专用条款</w:t>
      </w:r>
      <w:r>
        <w:rPr>
          <w:rFonts w:hint="eastAsia" w:asciiTheme="minorEastAsia" w:hAnsiTheme="minorEastAsia" w:eastAsiaTheme="minorEastAsia" w:cstheme="minorEastAsia"/>
          <w:sz w:val="24"/>
        </w:rPr>
        <w:t>的约定进行定期验收；</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2.15.2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2.15.3检验和验收标准、程序等具体内容以及前述验收书的效力详见</w:t>
      </w:r>
      <w:r>
        <w:rPr>
          <w:rFonts w:hint="eastAsia" w:asciiTheme="minorEastAsia" w:hAnsiTheme="minorEastAsia" w:eastAsiaTheme="minorEastAsia" w:cstheme="minorEastAsia"/>
          <w:b/>
          <w:i/>
          <w:sz w:val="24"/>
          <w:u w:val="single"/>
        </w:rPr>
        <w:t>合同专用条款</w:t>
      </w:r>
      <w:r>
        <w:rPr>
          <w:rFonts w:hint="eastAsia" w:asciiTheme="minorEastAsia" w:hAnsiTheme="minorEastAsia" w:eastAsiaTheme="minorEastAsia" w:cstheme="minorEastAsia"/>
          <w:i/>
          <w:sz w:val="24"/>
        </w:rPr>
        <w:t>。</w:t>
      </w:r>
    </w:p>
    <w:p>
      <w:pPr>
        <w:spacing w:line="360" w:lineRule="auto"/>
        <w:ind w:firstLine="437"/>
        <w:outlineLvl w:val="3"/>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 xml:space="preserve">2.16 </w:t>
      </w:r>
      <w:r>
        <w:rPr>
          <w:rFonts w:hint="eastAsia" w:asciiTheme="minorEastAsia" w:hAnsiTheme="minorEastAsia" w:eastAsiaTheme="minorEastAsia" w:cstheme="minorEastAsia"/>
          <w:b/>
          <w:bCs/>
          <w:sz w:val="24"/>
          <w:lang w:val="zh-CN"/>
        </w:rPr>
        <w:t>合同使用的文字和适用的法律</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2.16.1合同使用汉语书就、变更和解释；</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2.16.2合同适用中华人民共和国法律。</w:t>
      </w:r>
    </w:p>
    <w:p>
      <w:pPr>
        <w:spacing w:line="360" w:lineRule="auto"/>
        <w:ind w:firstLine="437"/>
        <w:outlineLvl w:val="3"/>
        <w:rPr>
          <w:rFonts w:asciiTheme="minorEastAsia" w:hAnsiTheme="minorEastAsia" w:eastAsiaTheme="minorEastAsia" w:cstheme="minorEastAsia"/>
          <w:b/>
          <w:sz w:val="24"/>
        </w:rPr>
      </w:pPr>
      <w:r>
        <w:rPr>
          <w:rFonts w:hint="eastAsia" w:asciiTheme="minorEastAsia" w:hAnsiTheme="minorEastAsia" w:eastAsiaTheme="minorEastAsia" w:cstheme="minorEastAsia"/>
          <w:b/>
          <w:bCs/>
          <w:sz w:val="24"/>
          <w:lang w:val="zh-CN"/>
        </w:rPr>
        <w:t>2.17 履约保证金</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2.17.1采购文件要求乙方提交履约保证金的，乙方应按</w:t>
      </w:r>
      <w:r>
        <w:rPr>
          <w:rFonts w:hint="eastAsia" w:asciiTheme="minorEastAsia" w:hAnsiTheme="minorEastAsia" w:eastAsiaTheme="minorEastAsia" w:cstheme="minorEastAsia"/>
          <w:b/>
          <w:i/>
          <w:sz w:val="24"/>
          <w:u w:val="single"/>
        </w:rPr>
        <w:t>合同专用条款</w:t>
      </w:r>
      <w:r>
        <w:rPr>
          <w:rFonts w:hint="eastAsia" w:asciiTheme="minorEastAsia" w:hAnsiTheme="minorEastAsia" w:eastAsiaTheme="minorEastAsia" w:cstheme="minorEastAsia"/>
          <w:sz w:val="24"/>
        </w:rPr>
        <w:t>约定的方式，以支票、汇票、本票或者金融机构、担保机构出具的保函等非现金形式，提交不超过合同价10%的履约保证金；</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2.17.2履约保证金在</w:t>
      </w:r>
      <w:r>
        <w:rPr>
          <w:rFonts w:hint="eastAsia" w:asciiTheme="minorEastAsia" w:hAnsiTheme="minorEastAsia" w:eastAsiaTheme="minorEastAsia" w:cstheme="minorEastAsia"/>
          <w:b/>
          <w:i/>
          <w:sz w:val="24"/>
          <w:u w:val="single"/>
        </w:rPr>
        <w:t>合同专用条款</w:t>
      </w:r>
      <w:r>
        <w:rPr>
          <w:rFonts w:hint="eastAsia" w:asciiTheme="minorEastAsia" w:hAnsiTheme="minorEastAsia" w:eastAsiaTheme="minorEastAsia" w:cstheme="minorEastAsia"/>
          <w:sz w:val="24"/>
        </w:rPr>
        <w:t>约定期间内不予退还或者应完全有效，前述约定期间届满之日起</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个工作日内，甲方应将履约保证金退还乙方；</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2.17.3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360" w:lineRule="auto"/>
        <w:ind w:firstLine="437"/>
        <w:outlineLvl w:val="3"/>
        <w:rPr>
          <w:rFonts w:asciiTheme="minorEastAsia" w:hAnsiTheme="minorEastAsia" w:eastAsiaTheme="minorEastAsia" w:cstheme="minorEastAsia"/>
          <w:b/>
          <w:sz w:val="24"/>
        </w:rPr>
      </w:pPr>
      <w:r>
        <w:rPr>
          <w:rFonts w:hint="eastAsia" w:asciiTheme="minorEastAsia" w:hAnsiTheme="minorEastAsia" w:eastAsiaTheme="minorEastAsia" w:cstheme="minorEastAsia"/>
          <w:b/>
          <w:bCs/>
          <w:sz w:val="24"/>
          <w:lang w:val="zh-CN"/>
        </w:rPr>
        <w:t>2.18 合同份数</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合同份数按</w:t>
      </w:r>
      <w:r>
        <w:rPr>
          <w:rFonts w:hint="eastAsia" w:asciiTheme="minorEastAsia" w:hAnsiTheme="minorEastAsia" w:eastAsiaTheme="minorEastAsia" w:cstheme="minorEastAsia"/>
          <w:b/>
          <w:i/>
          <w:sz w:val="24"/>
          <w:u w:val="single"/>
        </w:rPr>
        <w:t>合同专用条款</w:t>
      </w:r>
      <w:r>
        <w:rPr>
          <w:rFonts w:hint="eastAsia" w:asciiTheme="minorEastAsia" w:hAnsiTheme="minorEastAsia" w:eastAsiaTheme="minorEastAsia" w:cstheme="minorEastAsia"/>
          <w:sz w:val="24"/>
        </w:rPr>
        <w:t>规定，每份均具有同等法律效力。</w:t>
      </w:r>
    </w:p>
    <w:p>
      <w:pPr>
        <w:spacing w:line="360" w:lineRule="auto"/>
        <w:jc w:val="center"/>
        <w:outlineLvl w:val="2"/>
        <w:rPr>
          <w:rFonts w:asciiTheme="minorEastAsia" w:hAnsiTheme="minorEastAsia" w:eastAsiaTheme="minorEastAsia" w:cstheme="minorEastAsia"/>
          <w:b/>
          <w:sz w:val="24"/>
        </w:rPr>
      </w:pPr>
      <w:r>
        <w:rPr>
          <w:rFonts w:hint="eastAsia" w:asciiTheme="minorEastAsia" w:hAnsiTheme="minorEastAsia" w:eastAsiaTheme="minorEastAsia" w:cstheme="minorEastAsia"/>
          <w:sz w:val="24"/>
        </w:rPr>
        <w:br w:type="page"/>
      </w:r>
      <w:r>
        <w:rPr>
          <w:rFonts w:hint="eastAsia" w:asciiTheme="minorEastAsia" w:hAnsiTheme="minorEastAsia" w:eastAsiaTheme="minorEastAsia" w:cstheme="minorEastAsia"/>
          <w:b/>
          <w:sz w:val="24"/>
        </w:rPr>
        <w:t>第三部分 合同专用条款</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28"/>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903"/>
        <w:gridCol w:w="859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jc w:val="center"/>
        </w:trPr>
        <w:tc>
          <w:tcPr>
            <w:tcW w:w="475" w:type="pct"/>
            <w:tcBorders>
              <w:left w:val="single" w:color="auto" w:sz="4" w:space="0"/>
            </w:tcBorders>
            <w:vAlign w:val="center"/>
          </w:tcPr>
          <w:p>
            <w:pPr>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条款号</w:t>
            </w:r>
          </w:p>
        </w:tc>
        <w:tc>
          <w:tcPr>
            <w:tcW w:w="4525" w:type="pct"/>
            <w:vAlign w:val="center"/>
          </w:tcPr>
          <w:p>
            <w:pPr>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475" w:type="pct"/>
            <w:tcBorders>
              <w:left w:val="single" w:color="auto" w:sz="4" w:space="0"/>
            </w:tcBorders>
            <w:vAlign w:val="center"/>
          </w:tcPr>
          <w:p>
            <w:pPr>
              <w:spacing w:line="560" w:lineRule="exact"/>
              <w:rPr>
                <w:rFonts w:asciiTheme="minorEastAsia" w:hAnsiTheme="minorEastAsia" w:eastAsiaTheme="minorEastAsia" w:cstheme="minorEastAsia"/>
                <w:sz w:val="24"/>
              </w:rPr>
            </w:pPr>
          </w:p>
        </w:tc>
        <w:tc>
          <w:tcPr>
            <w:tcW w:w="4525" w:type="pct"/>
            <w:vAlign w:val="center"/>
          </w:tcPr>
          <w:p>
            <w:pPr>
              <w:spacing w:line="560" w:lineRule="exact"/>
              <w:rPr>
                <w:rFonts w:asciiTheme="minorEastAsia" w:hAnsiTheme="minorEastAsia" w:eastAsiaTheme="minorEastAsia" w:cstheme="minorEastAsia"/>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5" w:type="pct"/>
            <w:tcBorders>
              <w:left w:val="single" w:color="auto" w:sz="4" w:space="0"/>
            </w:tcBorders>
            <w:vAlign w:val="center"/>
          </w:tcPr>
          <w:p>
            <w:pPr>
              <w:spacing w:line="560" w:lineRule="exact"/>
              <w:rPr>
                <w:rFonts w:asciiTheme="minorEastAsia" w:hAnsiTheme="minorEastAsia" w:eastAsiaTheme="minorEastAsia" w:cstheme="minorEastAsia"/>
                <w:sz w:val="24"/>
              </w:rPr>
            </w:pPr>
          </w:p>
        </w:tc>
        <w:tc>
          <w:tcPr>
            <w:tcW w:w="4525" w:type="pct"/>
            <w:vAlign w:val="center"/>
          </w:tcPr>
          <w:p>
            <w:pPr>
              <w:spacing w:line="560" w:lineRule="exact"/>
              <w:rPr>
                <w:rFonts w:asciiTheme="minorEastAsia" w:hAnsiTheme="minorEastAsia" w:eastAsiaTheme="minorEastAsia" w:cstheme="minorEastAsia"/>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5" w:type="pct"/>
            <w:tcBorders>
              <w:left w:val="single" w:color="auto" w:sz="4" w:space="0"/>
            </w:tcBorders>
            <w:vAlign w:val="center"/>
          </w:tcPr>
          <w:p>
            <w:pPr>
              <w:spacing w:line="560" w:lineRule="exact"/>
              <w:rPr>
                <w:rFonts w:asciiTheme="minorEastAsia" w:hAnsiTheme="minorEastAsia" w:eastAsiaTheme="minorEastAsia" w:cstheme="minorEastAsia"/>
                <w:sz w:val="24"/>
              </w:rPr>
            </w:pPr>
          </w:p>
        </w:tc>
        <w:tc>
          <w:tcPr>
            <w:tcW w:w="4525" w:type="pct"/>
            <w:vAlign w:val="center"/>
          </w:tcPr>
          <w:p>
            <w:pPr>
              <w:spacing w:line="560" w:lineRule="exact"/>
              <w:rPr>
                <w:rFonts w:asciiTheme="minorEastAsia" w:hAnsiTheme="minorEastAsia" w:eastAsiaTheme="minorEastAsia" w:cstheme="minorEastAsia"/>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5" w:type="pct"/>
            <w:tcBorders>
              <w:left w:val="single" w:color="auto" w:sz="4" w:space="0"/>
            </w:tcBorders>
            <w:vAlign w:val="center"/>
          </w:tcPr>
          <w:p>
            <w:pPr>
              <w:spacing w:line="560" w:lineRule="exact"/>
              <w:rPr>
                <w:rFonts w:asciiTheme="minorEastAsia" w:hAnsiTheme="minorEastAsia" w:eastAsiaTheme="minorEastAsia" w:cstheme="minorEastAsia"/>
                <w:sz w:val="24"/>
              </w:rPr>
            </w:pPr>
          </w:p>
        </w:tc>
        <w:tc>
          <w:tcPr>
            <w:tcW w:w="4525" w:type="pct"/>
            <w:vAlign w:val="center"/>
          </w:tcPr>
          <w:p>
            <w:pPr>
              <w:spacing w:line="560" w:lineRule="exact"/>
              <w:rPr>
                <w:rFonts w:asciiTheme="minorEastAsia" w:hAnsiTheme="minorEastAsia" w:eastAsiaTheme="minorEastAsia" w:cstheme="minorEastAsia"/>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asciiTheme="minorEastAsia" w:hAnsiTheme="minorEastAsia" w:eastAsiaTheme="minorEastAsia" w:cstheme="minorEastAsia"/>
                <w:sz w:val="24"/>
              </w:rPr>
            </w:pPr>
          </w:p>
        </w:tc>
        <w:tc>
          <w:tcPr>
            <w:tcW w:w="4525" w:type="pct"/>
            <w:vAlign w:val="center"/>
          </w:tcPr>
          <w:p>
            <w:pPr>
              <w:spacing w:line="560" w:lineRule="exact"/>
              <w:rPr>
                <w:rFonts w:asciiTheme="minorEastAsia" w:hAnsiTheme="minorEastAsia" w:eastAsiaTheme="minorEastAsia" w:cstheme="minorEastAsia"/>
                <w:sz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asciiTheme="minorEastAsia" w:hAnsiTheme="minorEastAsia" w:eastAsiaTheme="minorEastAsia" w:cstheme="minorEastAsia"/>
                <w:sz w:val="24"/>
              </w:rPr>
            </w:pPr>
          </w:p>
        </w:tc>
        <w:tc>
          <w:tcPr>
            <w:tcW w:w="4525" w:type="pct"/>
            <w:vAlign w:val="center"/>
          </w:tcPr>
          <w:p>
            <w:pPr>
              <w:spacing w:line="560" w:lineRule="exact"/>
              <w:rPr>
                <w:rFonts w:asciiTheme="minorEastAsia" w:hAnsiTheme="minorEastAsia" w:eastAsiaTheme="minorEastAsia" w:cstheme="minorEastAsia"/>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5" w:type="pct"/>
            <w:tcBorders>
              <w:left w:val="single" w:color="auto" w:sz="4" w:space="0"/>
            </w:tcBorders>
            <w:vAlign w:val="center"/>
          </w:tcPr>
          <w:p>
            <w:pPr>
              <w:spacing w:line="560" w:lineRule="exact"/>
              <w:rPr>
                <w:rFonts w:asciiTheme="minorEastAsia" w:hAnsiTheme="minorEastAsia" w:eastAsiaTheme="minorEastAsia" w:cstheme="minorEastAsia"/>
                <w:sz w:val="24"/>
              </w:rPr>
            </w:pPr>
          </w:p>
        </w:tc>
        <w:tc>
          <w:tcPr>
            <w:tcW w:w="4525" w:type="pct"/>
            <w:vAlign w:val="center"/>
          </w:tcPr>
          <w:p>
            <w:pPr>
              <w:spacing w:line="560" w:lineRule="exact"/>
              <w:rPr>
                <w:rFonts w:asciiTheme="minorEastAsia" w:hAnsiTheme="minorEastAsia" w:eastAsiaTheme="minorEastAsia" w:cstheme="minorEastAsia"/>
                <w:sz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asciiTheme="minorEastAsia" w:hAnsiTheme="minorEastAsia" w:eastAsiaTheme="minorEastAsia" w:cstheme="minorEastAsia"/>
                <w:sz w:val="24"/>
              </w:rPr>
            </w:pPr>
          </w:p>
        </w:tc>
        <w:tc>
          <w:tcPr>
            <w:tcW w:w="4525" w:type="pct"/>
            <w:vAlign w:val="center"/>
          </w:tcPr>
          <w:p>
            <w:pPr>
              <w:spacing w:line="560" w:lineRule="exact"/>
              <w:rPr>
                <w:rFonts w:asciiTheme="minorEastAsia" w:hAnsiTheme="minorEastAsia" w:eastAsiaTheme="minorEastAsia" w:cstheme="minorEastAsia"/>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asciiTheme="minorEastAsia" w:hAnsiTheme="minorEastAsia" w:eastAsiaTheme="minorEastAsia" w:cstheme="minorEastAsia"/>
                <w:sz w:val="24"/>
              </w:rPr>
            </w:pPr>
          </w:p>
        </w:tc>
        <w:tc>
          <w:tcPr>
            <w:tcW w:w="4525" w:type="pct"/>
            <w:vAlign w:val="center"/>
          </w:tcPr>
          <w:p>
            <w:pPr>
              <w:spacing w:line="560" w:lineRule="exact"/>
              <w:rPr>
                <w:rFonts w:asciiTheme="minorEastAsia" w:hAnsiTheme="minorEastAsia" w:eastAsiaTheme="minorEastAsia" w:cstheme="minorEastAsia"/>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asciiTheme="minorEastAsia" w:hAnsiTheme="minorEastAsia" w:eastAsiaTheme="minorEastAsia" w:cstheme="minorEastAsia"/>
                <w:sz w:val="24"/>
              </w:rPr>
            </w:pPr>
          </w:p>
        </w:tc>
        <w:tc>
          <w:tcPr>
            <w:tcW w:w="4525" w:type="pct"/>
            <w:vAlign w:val="center"/>
          </w:tcPr>
          <w:p>
            <w:pPr>
              <w:spacing w:line="560" w:lineRule="exact"/>
              <w:rPr>
                <w:rFonts w:asciiTheme="minorEastAsia" w:hAnsiTheme="minorEastAsia" w:eastAsiaTheme="minorEastAsia" w:cstheme="minorEastAsia"/>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top w:val="single" w:color="auto" w:sz="6" w:space="0"/>
              <w:left w:val="single" w:color="auto" w:sz="4" w:space="0"/>
              <w:bottom w:val="single" w:color="auto" w:sz="6" w:space="0"/>
              <w:right w:val="single" w:color="auto" w:sz="6" w:space="0"/>
            </w:tcBorders>
            <w:vAlign w:val="center"/>
          </w:tcPr>
          <w:p>
            <w:pPr>
              <w:spacing w:line="560" w:lineRule="exact"/>
              <w:rPr>
                <w:rFonts w:asciiTheme="minorEastAsia" w:hAnsiTheme="minorEastAsia" w:eastAsiaTheme="minorEastAsia" w:cstheme="minorEastAsia"/>
                <w:sz w:val="24"/>
              </w:rPr>
            </w:pPr>
          </w:p>
        </w:tc>
        <w:tc>
          <w:tcPr>
            <w:tcW w:w="4525" w:type="pct"/>
            <w:tcBorders>
              <w:top w:val="single" w:color="auto" w:sz="6" w:space="0"/>
              <w:left w:val="single" w:color="auto" w:sz="6" w:space="0"/>
              <w:bottom w:val="single" w:color="auto" w:sz="6" w:space="0"/>
              <w:right w:val="single" w:color="auto" w:sz="6" w:space="0"/>
            </w:tcBorders>
            <w:vAlign w:val="center"/>
          </w:tcPr>
          <w:p>
            <w:pPr>
              <w:spacing w:line="560" w:lineRule="exact"/>
              <w:rPr>
                <w:rFonts w:asciiTheme="minorEastAsia" w:hAnsiTheme="minorEastAsia" w:eastAsiaTheme="minorEastAsia" w:cstheme="minorEastAsia"/>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top w:val="single" w:color="auto" w:sz="6" w:space="0"/>
              <w:left w:val="single" w:color="auto" w:sz="4" w:space="0"/>
              <w:bottom w:val="single" w:color="auto" w:sz="6" w:space="0"/>
              <w:right w:val="single" w:color="auto" w:sz="6" w:space="0"/>
            </w:tcBorders>
            <w:vAlign w:val="center"/>
          </w:tcPr>
          <w:p>
            <w:pPr>
              <w:spacing w:line="560" w:lineRule="exact"/>
              <w:rPr>
                <w:rFonts w:asciiTheme="minorEastAsia" w:hAnsiTheme="minorEastAsia" w:eastAsiaTheme="minorEastAsia" w:cstheme="minorEastAsia"/>
                <w:sz w:val="24"/>
              </w:rPr>
            </w:pPr>
          </w:p>
        </w:tc>
        <w:tc>
          <w:tcPr>
            <w:tcW w:w="4525" w:type="pct"/>
            <w:tcBorders>
              <w:top w:val="single" w:color="auto" w:sz="6" w:space="0"/>
              <w:left w:val="single" w:color="auto" w:sz="6" w:space="0"/>
              <w:bottom w:val="single" w:color="auto" w:sz="6" w:space="0"/>
              <w:right w:val="single" w:color="auto" w:sz="6" w:space="0"/>
            </w:tcBorders>
            <w:vAlign w:val="center"/>
          </w:tcPr>
          <w:p>
            <w:pPr>
              <w:spacing w:line="560" w:lineRule="exact"/>
              <w:rPr>
                <w:rFonts w:asciiTheme="minorEastAsia" w:hAnsiTheme="minorEastAsia" w:eastAsiaTheme="minorEastAsia" w:cstheme="minorEastAsia"/>
                <w:sz w:val="24"/>
              </w:rPr>
            </w:pPr>
          </w:p>
        </w:tc>
      </w:tr>
    </w:tbl>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br w:type="page"/>
      </w:r>
    </w:p>
    <w:p>
      <w:pPr>
        <w:pStyle w:val="3"/>
        <w:numPr>
          <w:ilvl w:val="0"/>
          <w:numId w:val="1"/>
        </w:numPr>
        <w:rPr>
          <w:rFonts w:asciiTheme="minorEastAsia" w:hAnsiTheme="minorEastAsia" w:eastAsiaTheme="minorEastAsia" w:cstheme="minorEastAsia"/>
        </w:rPr>
      </w:pPr>
      <w:bookmarkStart w:id="100" w:name="_Toc23354"/>
      <w:bookmarkStart w:id="101" w:name="_Toc26873"/>
      <w:bookmarkStart w:id="102" w:name="_Toc4222"/>
      <w:bookmarkStart w:id="103" w:name="_Toc4293"/>
      <w:r>
        <w:rPr>
          <w:rFonts w:hint="eastAsia" w:asciiTheme="minorEastAsia" w:hAnsiTheme="minorEastAsia" w:eastAsiaTheme="minorEastAsia" w:cstheme="minorEastAsia"/>
        </w:rPr>
        <w:t>投标文件格式</w:t>
      </w:r>
      <w:bookmarkEnd w:id="100"/>
      <w:bookmarkEnd w:id="101"/>
      <w:bookmarkEnd w:id="102"/>
      <w:bookmarkEnd w:id="103"/>
    </w:p>
    <w:p>
      <w:pPr>
        <w:spacing w:line="360" w:lineRule="auto"/>
        <w:jc w:val="center"/>
        <w:rPr>
          <w:rFonts w:asciiTheme="minorEastAsia" w:hAnsiTheme="minorEastAsia" w:eastAsiaTheme="minorEastAsia" w:cstheme="minorEastAsia"/>
          <w:b/>
          <w:spacing w:val="20"/>
          <w:sz w:val="36"/>
          <w:szCs w:val="36"/>
          <w:u w:val="single"/>
        </w:rPr>
      </w:pPr>
    </w:p>
    <w:p>
      <w:pPr>
        <w:spacing w:line="360" w:lineRule="auto"/>
        <w:jc w:val="center"/>
        <w:rPr>
          <w:rFonts w:asciiTheme="minorEastAsia" w:hAnsiTheme="minorEastAsia" w:eastAsiaTheme="minorEastAsia" w:cstheme="minorEastAsia"/>
          <w:b/>
          <w:spacing w:val="20"/>
          <w:sz w:val="36"/>
          <w:szCs w:val="36"/>
        </w:rPr>
      </w:pPr>
      <w:r>
        <w:rPr>
          <w:rFonts w:hint="eastAsia" w:asciiTheme="minorEastAsia" w:hAnsiTheme="minorEastAsia" w:eastAsiaTheme="minorEastAsia" w:cstheme="minorEastAsia"/>
          <w:b/>
          <w:spacing w:val="20"/>
          <w:sz w:val="36"/>
          <w:szCs w:val="36"/>
          <w:u w:val="single"/>
        </w:rPr>
        <w:t xml:space="preserve">                          </w:t>
      </w:r>
      <w:r>
        <w:rPr>
          <w:rFonts w:hint="eastAsia" w:asciiTheme="minorEastAsia" w:hAnsiTheme="minorEastAsia" w:eastAsiaTheme="minorEastAsia" w:cstheme="minorEastAsia"/>
          <w:b/>
          <w:spacing w:val="20"/>
          <w:sz w:val="36"/>
          <w:szCs w:val="36"/>
        </w:rPr>
        <w:t>（项目名称）</w:t>
      </w:r>
    </w:p>
    <w:p>
      <w:pPr>
        <w:spacing w:line="360" w:lineRule="auto"/>
        <w:rPr>
          <w:rFonts w:asciiTheme="minorEastAsia" w:hAnsiTheme="minorEastAsia" w:eastAsiaTheme="minorEastAsia" w:cstheme="minorEastAsia"/>
          <w:sz w:val="24"/>
        </w:rPr>
      </w:pPr>
    </w:p>
    <w:p>
      <w:pPr>
        <w:spacing w:line="360" w:lineRule="auto"/>
        <w:rPr>
          <w:rFonts w:asciiTheme="minorEastAsia" w:hAnsiTheme="minorEastAsia" w:eastAsiaTheme="minorEastAsia" w:cstheme="minorEastAsia"/>
          <w:sz w:val="24"/>
        </w:rPr>
      </w:pPr>
    </w:p>
    <w:p>
      <w:pPr>
        <w:spacing w:line="900" w:lineRule="auto"/>
        <w:jc w:val="center"/>
        <w:rPr>
          <w:rFonts w:asciiTheme="minorEastAsia" w:hAnsiTheme="minorEastAsia" w:eastAsiaTheme="minorEastAsia" w:cstheme="minorEastAsia"/>
          <w:b/>
          <w:sz w:val="96"/>
          <w:szCs w:val="72"/>
        </w:rPr>
      </w:pPr>
      <w:r>
        <w:rPr>
          <w:rFonts w:hint="eastAsia" w:asciiTheme="minorEastAsia" w:hAnsiTheme="minorEastAsia" w:eastAsiaTheme="minorEastAsia" w:cstheme="minorEastAsia"/>
          <w:b/>
          <w:sz w:val="96"/>
          <w:szCs w:val="72"/>
        </w:rPr>
        <w:t>投</w:t>
      </w:r>
    </w:p>
    <w:p>
      <w:pPr>
        <w:spacing w:line="900" w:lineRule="auto"/>
        <w:jc w:val="center"/>
        <w:rPr>
          <w:rFonts w:asciiTheme="minorEastAsia" w:hAnsiTheme="minorEastAsia" w:eastAsiaTheme="minorEastAsia" w:cstheme="minorEastAsia"/>
          <w:b/>
          <w:sz w:val="96"/>
          <w:szCs w:val="72"/>
        </w:rPr>
      </w:pPr>
      <w:r>
        <w:rPr>
          <w:rFonts w:hint="eastAsia" w:asciiTheme="minorEastAsia" w:hAnsiTheme="minorEastAsia" w:eastAsiaTheme="minorEastAsia" w:cstheme="minorEastAsia"/>
          <w:b/>
          <w:sz w:val="96"/>
          <w:szCs w:val="72"/>
        </w:rPr>
        <w:t>标</w:t>
      </w:r>
    </w:p>
    <w:p>
      <w:pPr>
        <w:spacing w:line="900" w:lineRule="auto"/>
        <w:jc w:val="center"/>
        <w:rPr>
          <w:rFonts w:asciiTheme="minorEastAsia" w:hAnsiTheme="minorEastAsia" w:eastAsiaTheme="minorEastAsia" w:cstheme="minorEastAsia"/>
          <w:b/>
          <w:sz w:val="96"/>
          <w:szCs w:val="72"/>
        </w:rPr>
      </w:pPr>
      <w:r>
        <w:rPr>
          <w:rFonts w:hint="eastAsia" w:asciiTheme="minorEastAsia" w:hAnsiTheme="minorEastAsia" w:eastAsiaTheme="minorEastAsia" w:cstheme="minorEastAsia"/>
          <w:b/>
          <w:sz w:val="96"/>
          <w:szCs w:val="72"/>
        </w:rPr>
        <w:t>文</w:t>
      </w:r>
    </w:p>
    <w:p>
      <w:pPr>
        <w:spacing w:line="900" w:lineRule="auto"/>
        <w:jc w:val="center"/>
        <w:rPr>
          <w:rFonts w:asciiTheme="minorEastAsia" w:hAnsiTheme="minorEastAsia" w:eastAsiaTheme="minorEastAsia" w:cstheme="minorEastAsia"/>
          <w:b/>
          <w:sz w:val="96"/>
          <w:szCs w:val="72"/>
        </w:rPr>
      </w:pPr>
      <w:r>
        <w:rPr>
          <w:rFonts w:hint="eastAsia" w:asciiTheme="minorEastAsia" w:hAnsiTheme="minorEastAsia" w:eastAsiaTheme="minorEastAsia" w:cstheme="minorEastAsia"/>
          <w:b/>
          <w:sz w:val="96"/>
          <w:szCs w:val="72"/>
        </w:rPr>
        <w:t>件</w:t>
      </w:r>
    </w:p>
    <w:p>
      <w:pPr>
        <w:spacing w:line="360" w:lineRule="auto"/>
        <w:rPr>
          <w:rFonts w:asciiTheme="minorEastAsia" w:hAnsiTheme="minorEastAsia" w:eastAsiaTheme="minorEastAsia" w:cstheme="minorEastAsia"/>
          <w:sz w:val="24"/>
        </w:rPr>
      </w:pPr>
    </w:p>
    <w:p>
      <w:pPr>
        <w:spacing w:line="360" w:lineRule="auto"/>
        <w:rPr>
          <w:rFonts w:asciiTheme="minorEastAsia" w:hAnsiTheme="minorEastAsia" w:eastAsiaTheme="minorEastAsia" w:cstheme="minorEastAsia"/>
          <w:b/>
          <w:sz w:val="30"/>
          <w:szCs w:val="30"/>
        </w:rPr>
      </w:pPr>
    </w:p>
    <w:p>
      <w:pPr>
        <w:spacing w:line="360" w:lineRule="auto"/>
        <w:ind w:firstLine="148" w:firstLineChars="49"/>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 xml:space="preserve">投标人名称： </w:t>
      </w:r>
      <w:r>
        <w:rPr>
          <w:rFonts w:hint="eastAsia" w:asciiTheme="minorEastAsia" w:hAnsiTheme="minorEastAsia" w:eastAsiaTheme="minorEastAsia" w:cstheme="minorEastAsia"/>
          <w:b/>
          <w:sz w:val="30"/>
          <w:szCs w:val="30"/>
          <w:u w:val="single"/>
        </w:rPr>
        <w:t xml:space="preserve">                                         </w:t>
      </w:r>
    </w:p>
    <w:p>
      <w:pPr>
        <w:spacing w:line="360" w:lineRule="auto"/>
        <w:rPr>
          <w:rFonts w:asciiTheme="minorEastAsia" w:hAnsiTheme="minorEastAsia" w:eastAsiaTheme="minorEastAsia" w:cstheme="minorEastAsia"/>
          <w:b/>
          <w:sz w:val="30"/>
          <w:szCs w:val="30"/>
        </w:rPr>
      </w:pPr>
    </w:p>
    <w:p>
      <w:pPr>
        <w:spacing w:line="360" w:lineRule="auto"/>
        <w:rPr>
          <w:rFonts w:asciiTheme="minorEastAsia" w:hAnsiTheme="minorEastAsia" w:eastAsiaTheme="minorEastAsia" w:cstheme="minorEastAsia"/>
          <w:sz w:val="30"/>
          <w:szCs w:val="30"/>
        </w:rPr>
      </w:pPr>
    </w:p>
    <w:p>
      <w:pPr>
        <w:spacing w:line="360" w:lineRule="auto"/>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日期：</w:t>
      </w:r>
      <w:r>
        <w:rPr>
          <w:rFonts w:hint="eastAsia" w:asciiTheme="minorEastAsia" w:hAnsiTheme="minorEastAsia" w:eastAsiaTheme="minorEastAsia" w:cstheme="minorEastAsia"/>
          <w:b/>
          <w:sz w:val="30"/>
          <w:szCs w:val="30"/>
          <w:u w:val="single"/>
        </w:rPr>
        <w:t xml:space="preserve">    </w:t>
      </w:r>
      <w:r>
        <w:rPr>
          <w:rFonts w:hint="eastAsia" w:asciiTheme="minorEastAsia" w:hAnsiTheme="minorEastAsia" w:eastAsiaTheme="minorEastAsia" w:cstheme="minorEastAsia"/>
          <w:b/>
          <w:sz w:val="30"/>
          <w:szCs w:val="30"/>
        </w:rPr>
        <w:t>年</w:t>
      </w:r>
      <w:r>
        <w:rPr>
          <w:rFonts w:hint="eastAsia" w:asciiTheme="minorEastAsia" w:hAnsiTheme="minorEastAsia" w:eastAsiaTheme="minorEastAsia" w:cstheme="minorEastAsia"/>
          <w:b/>
          <w:sz w:val="30"/>
          <w:szCs w:val="30"/>
          <w:u w:val="single"/>
        </w:rPr>
        <w:t xml:space="preserve">     </w:t>
      </w:r>
      <w:r>
        <w:rPr>
          <w:rFonts w:hint="eastAsia" w:asciiTheme="minorEastAsia" w:hAnsiTheme="minorEastAsia" w:eastAsiaTheme="minorEastAsia" w:cstheme="minorEastAsia"/>
          <w:b/>
          <w:sz w:val="30"/>
          <w:szCs w:val="30"/>
        </w:rPr>
        <w:t>月</w:t>
      </w:r>
      <w:r>
        <w:rPr>
          <w:rFonts w:hint="eastAsia" w:asciiTheme="minorEastAsia" w:hAnsiTheme="minorEastAsia" w:eastAsiaTheme="minorEastAsia" w:cstheme="minorEastAsia"/>
          <w:b/>
          <w:sz w:val="30"/>
          <w:szCs w:val="30"/>
          <w:u w:val="single"/>
        </w:rPr>
        <w:t xml:space="preserve">    </w:t>
      </w:r>
      <w:r>
        <w:rPr>
          <w:rFonts w:hint="eastAsia" w:asciiTheme="minorEastAsia" w:hAnsiTheme="minorEastAsia" w:eastAsiaTheme="minorEastAsia" w:cstheme="minorEastAsia"/>
          <w:b/>
          <w:sz w:val="30"/>
          <w:szCs w:val="30"/>
        </w:rPr>
        <w:t>日</w:t>
      </w:r>
    </w:p>
    <w:p>
      <w:pPr>
        <w:spacing w:line="360" w:lineRule="auto"/>
        <w:jc w:val="center"/>
        <w:rPr>
          <w:rFonts w:asciiTheme="minorEastAsia" w:hAnsiTheme="minorEastAsia" w:eastAsiaTheme="minorEastAsia" w:cstheme="minorEastAsia"/>
          <w:b/>
          <w:sz w:val="30"/>
          <w:szCs w:val="30"/>
        </w:rPr>
      </w:pPr>
    </w:p>
    <w:p>
      <w:pPr>
        <w:spacing w:line="360" w:lineRule="auto"/>
        <w:jc w:val="center"/>
        <w:rPr>
          <w:rFonts w:asciiTheme="minorEastAsia" w:hAnsiTheme="minorEastAsia" w:eastAsiaTheme="minorEastAsia" w:cstheme="minorEastAsia"/>
          <w:sz w:val="24"/>
        </w:rPr>
      </w:pPr>
    </w:p>
    <w:p>
      <w:pPr>
        <w:spacing w:line="360" w:lineRule="auto"/>
        <w:jc w:val="center"/>
        <w:rPr>
          <w:rFonts w:asciiTheme="minorEastAsia" w:hAnsiTheme="minorEastAsia" w:eastAsiaTheme="minorEastAsia" w:cstheme="minorEastAsia"/>
          <w:sz w:val="24"/>
        </w:rPr>
      </w:pPr>
    </w:p>
    <w:p>
      <w:pPr>
        <w:spacing w:line="360" w:lineRule="auto"/>
        <w:jc w:val="center"/>
        <w:rPr>
          <w:rFonts w:asciiTheme="minorEastAsia" w:hAnsiTheme="minorEastAsia" w:eastAsiaTheme="minorEastAsia" w:cstheme="minorEastAsia"/>
          <w:sz w:val="24"/>
        </w:rPr>
      </w:pPr>
    </w:p>
    <w:p>
      <w:pPr>
        <w:pStyle w:val="2"/>
      </w:pPr>
    </w:p>
    <w:p>
      <w:pPr>
        <w:spacing w:line="360" w:lineRule="auto"/>
        <w:jc w:val="center"/>
        <w:rPr>
          <w:rFonts w:asciiTheme="minorEastAsia" w:hAnsiTheme="minorEastAsia" w:eastAsiaTheme="minorEastAsia" w:cstheme="minorEastAsia"/>
          <w:sz w:val="24"/>
        </w:rPr>
      </w:pPr>
    </w:p>
    <w:p>
      <w:pPr>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目 录</w:t>
      </w:r>
    </w:p>
    <w:p>
      <w:pPr>
        <w:spacing w:line="48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一、投标函及开标一览表</w:t>
      </w:r>
    </w:p>
    <w:p>
      <w:pPr>
        <w:spacing w:line="48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二、分项报价表</w:t>
      </w:r>
    </w:p>
    <w:p>
      <w:pPr>
        <w:spacing w:line="48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三、投标响应表</w:t>
      </w:r>
    </w:p>
    <w:p>
      <w:pPr>
        <w:spacing w:line="48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四、服务方案</w:t>
      </w:r>
    </w:p>
    <w:p>
      <w:pPr>
        <w:spacing w:line="48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五、诚信投标承诺书</w:t>
      </w:r>
    </w:p>
    <w:p>
      <w:pPr>
        <w:spacing w:line="48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六、中小企业声明函</w:t>
      </w:r>
    </w:p>
    <w:p>
      <w:pPr>
        <w:spacing w:line="48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七、残疾人福利性单位声明函</w:t>
      </w:r>
    </w:p>
    <w:p>
      <w:pPr>
        <w:spacing w:line="48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八、资格证明文件</w:t>
      </w:r>
    </w:p>
    <w:p>
      <w:pPr>
        <w:spacing w:line="360" w:lineRule="auto"/>
        <w:ind w:firstLine="480" w:firstLineChars="200"/>
        <w:rPr>
          <w:rFonts w:asciiTheme="minorEastAsia" w:hAnsiTheme="minorEastAsia" w:eastAsiaTheme="minorEastAsia" w:cstheme="minorEastAsia"/>
          <w:sz w:val="24"/>
        </w:rPr>
      </w:pPr>
    </w:p>
    <w:p>
      <w:pPr>
        <w:spacing w:line="360" w:lineRule="auto"/>
        <w:ind w:firstLine="480" w:firstLineChars="200"/>
        <w:rPr>
          <w:rFonts w:asciiTheme="minorEastAsia" w:hAnsiTheme="minorEastAsia" w:eastAsiaTheme="minorEastAsia" w:cstheme="minorEastAsia"/>
          <w:sz w:val="24"/>
        </w:rPr>
      </w:pPr>
    </w:p>
    <w:p>
      <w:pPr>
        <w:spacing w:line="360" w:lineRule="auto"/>
        <w:ind w:firstLine="480" w:firstLineChars="200"/>
        <w:rPr>
          <w:rFonts w:asciiTheme="minorEastAsia" w:hAnsiTheme="minorEastAsia" w:eastAsiaTheme="minorEastAsia" w:cstheme="minorEastAsia"/>
          <w:sz w:val="24"/>
        </w:rPr>
      </w:pPr>
    </w:p>
    <w:p>
      <w:pPr>
        <w:spacing w:line="360" w:lineRule="auto"/>
        <w:ind w:firstLine="480" w:firstLineChars="200"/>
        <w:rPr>
          <w:rFonts w:asciiTheme="minorEastAsia" w:hAnsiTheme="minorEastAsia" w:eastAsiaTheme="minorEastAsia" w:cstheme="minorEastAsia"/>
          <w:sz w:val="24"/>
        </w:rPr>
      </w:pPr>
    </w:p>
    <w:p>
      <w:pPr>
        <w:spacing w:line="360" w:lineRule="auto"/>
        <w:ind w:firstLine="480" w:firstLineChars="200"/>
        <w:rPr>
          <w:rFonts w:asciiTheme="minorEastAsia" w:hAnsiTheme="minorEastAsia" w:eastAsiaTheme="minorEastAsia" w:cstheme="minorEastAsia"/>
          <w:sz w:val="24"/>
        </w:rPr>
      </w:pPr>
    </w:p>
    <w:p>
      <w:pPr>
        <w:spacing w:line="360" w:lineRule="auto"/>
        <w:ind w:firstLine="480" w:firstLineChars="200"/>
        <w:rPr>
          <w:rFonts w:asciiTheme="minorEastAsia" w:hAnsiTheme="minorEastAsia" w:eastAsiaTheme="minorEastAsia" w:cstheme="minorEastAsia"/>
          <w:sz w:val="24"/>
        </w:rPr>
      </w:pPr>
    </w:p>
    <w:p>
      <w:pPr>
        <w:spacing w:line="360" w:lineRule="auto"/>
        <w:ind w:firstLine="480" w:firstLineChars="200"/>
        <w:rPr>
          <w:rFonts w:asciiTheme="minorEastAsia" w:hAnsiTheme="minorEastAsia" w:eastAsiaTheme="minorEastAsia" w:cstheme="minorEastAsia"/>
          <w:sz w:val="24"/>
        </w:rPr>
      </w:pPr>
    </w:p>
    <w:p>
      <w:pPr>
        <w:spacing w:line="360" w:lineRule="auto"/>
        <w:ind w:firstLine="480" w:firstLineChars="200"/>
        <w:rPr>
          <w:rFonts w:asciiTheme="minorEastAsia" w:hAnsiTheme="minorEastAsia" w:eastAsiaTheme="minorEastAsia" w:cstheme="minorEastAsia"/>
          <w:sz w:val="24"/>
        </w:rPr>
      </w:pPr>
    </w:p>
    <w:p>
      <w:pPr>
        <w:spacing w:line="360" w:lineRule="auto"/>
        <w:ind w:firstLine="480" w:firstLineChars="200"/>
        <w:rPr>
          <w:rFonts w:asciiTheme="minorEastAsia" w:hAnsiTheme="minorEastAsia" w:eastAsiaTheme="minorEastAsia" w:cstheme="minorEastAsia"/>
          <w:sz w:val="24"/>
        </w:rPr>
      </w:pPr>
    </w:p>
    <w:p>
      <w:pPr>
        <w:spacing w:line="360" w:lineRule="auto"/>
        <w:ind w:firstLine="480" w:firstLineChars="200"/>
        <w:rPr>
          <w:rFonts w:asciiTheme="minorEastAsia" w:hAnsiTheme="minorEastAsia" w:eastAsiaTheme="minorEastAsia" w:cstheme="minorEastAsia"/>
          <w:sz w:val="24"/>
        </w:rPr>
      </w:pPr>
    </w:p>
    <w:p>
      <w:pPr>
        <w:spacing w:line="360" w:lineRule="auto"/>
        <w:ind w:firstLine="480" w:firstLineChars="200"/>
        <w:rPr>
          <w:rFonts w:asciiTheme="minorEastAsia" w:hAnsiTheme="minorEastAsia" w:eastAsiaTheme="minorEastAsia" w:cstheme="minorEastAsia"/>
          <w:sz w:val="24"/>
        </w:rPr>
      </w:pPr>
    </w:p>
    <w:p>
      <w:pPr>
        <w:spacing w:line="360" w:lineRule="auto"/>
        <w:ind w:firstLine="480" w:firstLineChars="200"/>
        <w:rPr>
          <w:rFonts w:asciiTheme="minorEastAsia" w:hAnsiTheme="minorEastAsia" w:eastAsiaTheme="minorEastAsia" w:cstheme="minorEastAsia"/>
          <w:sz w:val="24"/>
        </w:rPr>
      </w:pPr>
    </w:p>
    <w:p>
      <w:pPr>
        <w:spacing w:line="360" w:lineRule="auto"/>
        <w:ind w:firstLine="480" w:firstLineChars="200"/>
        <w:rPr>
          <w:rFonts w:asciiTheme="minorEastAsia" w:hAnsiTheme="minorEastAsia" w:eastAsiaTheme="minorEastAsia" w:cstheme="minorEastAsia"/>
          <w:sz w:val="24"/>
        </w:rPr>
      </w:pPr>
    </w:p>
    <w:p>
      <w:pPr>
        <w:spacing w:line="360" w:lineRule="auto"/>
        <w:ind w:firstLine="480" w:firstLineChars="200"/>
        <w:rPr>
          <w:rFonts w:asciiTheme="minorEastAsia" w:hAnsiTheme="minorEastAsia" w:eastAsiaTheme="minorEastAsia" w:cstheme="minorEastAsia"/>
          <w:sz w:val="24"/>
        </w:rPr>
      </w:pPr>
    </w:p>
    <w:p>
      <w:pPr>
        <w:spacing w:line="360" w:lineRule="auto"/>
        <w:ind w:firstLine="480" w:firstLineChars="200"/>
        <w:rPr>
          <w:rFonts w:asciiTheme="minorEastAsia" w:hAnsiTheme="minorEastAsia" w:eastAsiaTheme="minorEastAsia" w:cstheme="minorEastAsia"/>
          <w:sz w:val="24"/>
        </w:rPr>
      </w:pPr>
    </w:p>
    <w:p>
      <w:pPr>
        <w:spacing w:line="360" w:lineRule="auto"/>
        <w:ind w:firstLine="480" w:firstLineChars="200"/>
        <w:rPr>
          <w:rFonts w:asciiTheme="minorEastAsia" w:hAnsiTheme="minorEastAsia" w:eastAsiaTheme="minorEastAsia" w:cstheme="minorEastAsia"/>
          <w:sz w:val="24"/>
        </w:rPr>
      </w:pPr>
    </w:p>
    <w:p>
      <w:pPr>
        <w:spacing w:line="360" w:lineRule="auto"/>
        <w:ind w:firstLine="480" w:firstLineChars="200"/>
        <w:rPr>
          <w:rFonts w:asciiTheme="minorEastAsia" w:hAnsiTheme="minorEastAsia" w:eastAsiaTheme="minorEastAsia" w:cstheme="minorEastAsia"/>
          <w:sz w:val="24"/>
        </w:rPr>
      </w:pPr>
    </w:p>
    <w:p>
      <w:pPr>
        <w:spacing w:line="360" w:lineRule="auto"/>
        <w:ind w:firstLine="480" w:firstLineChars="200"/>
        <w:rPr>
          <w:rFonts w:asciiTheme="minorEastAsia" w:hAnsiTheme="minorEastAsia" w:eastAsiaTheme="minorEastAsia" w:cstheme="minorEastAsia"/>
          <w:sz w:val="24"/>
        </w:rPr>
      </w:pPr>
    </w:p>
    <w:p>
      <w:pPr>
        <w:pStyle w:val="2"/>
      </w:pPr>
    </w:p>
    <w:p>
      <w:pPr>
        <w:pStyle w:val="6"/>
        <w:jc w:val="center"/>
      </w:pPr>
      <w:bookmarkStart w:id="104" w:name="_Toc13905"/>
      <w:bookmarkStart w:id="105" w:name="_Toc481873158"/>
      <w:r>
        <w:rPr>
          <w:rFonts w:hint="eastAsia"/>
        </w:rPr>
        <w:t>一、投标函</w:t>
      </w:r>
      <w:bookmarkEnd w:id="104"/>
      <w:bookmarkEnd w:id="105"/>
    </w:p>
    <w:p>
      <w:pPr>
        <w:tabs>
          <w:tab w:val="left" w:pos="5580"/>
        </w:tabs>
        <w:spacing w:before="120" w:line="360" w:lineRule="auto"/>
        <w:rPr>
          <w:rFonts w:ascii="宋体" w:hAnsi="宋体"/>
          <w:szCs w:val="21"/>
        </w:rPr>
      </w:pPr>
      <w:r>
        <w:rPr>
          <w:rFonts w:hint="eastAsia" w:ascii="宋体" w:hAnsi="宋体"/>
          <w:szCs w:val="21"/>
        </w:rPr>
        <w:t>致：</w:t>
      </w:r>
      <w:r>
        <w:rPr>
          <w:rFonts w:hint="eastAsia" w:ascii="宋体" w:hAnsi="宋体"/>
          <w:szCs w:val="21"/>
          <w:u w:val="single"/>
        </w:rPr>
        <w:t xml:space="preserve">                        </w:t>
      </w:r>
      <w:r>
        <w:rPr>
          <w:rFonts w:hint="eastAsia" w:ascii="宋体" w:hAnsi="宋体"/>
          <w:szCs w:val="21"/>
        </w:rPr>
        <w:t>（采购人名称）</w:t>
      </w:r>
    </w:p>
    <w:p>
      <w:pPr>
        <w:pStyle w:val="15"/>
        <w:tabs>
          <w:tab w:val="left" w:pos="5580"/>
        </w:tabs>
        <w:spacing w:line="360" w:lineRule="auto"/>
        <w:ind w:firstLine="420" w:firstLineChars="200"/>
        <w:rPr>
          <w:rFonts w:hAnsi="宋体"/>
          <w:szCs w:val="21"/>
        </w:rPr>
      </w:pPr>
      <w:r>
        <w:rPr>
          <w:rFonts w:hint="eastAsia" w:hAnsi="宋体"/>
          <w:szCs w:val="21"/>
        </w:rPr>
        <w:t>1、根据贵方</w:t>
      </w:r>
      <w:r>
        <w:rPr>
          <w:rFonts w:hint="eastAsia" w:hAnsi="宋体"/>
          <w:szCs w:val="21"/>
          <w:u w:val="single"/>
        </w:rPr>
        <w:t xml:space="preserve">          </w:t>
      </w:r>
      <w:r>
        <w:rPr>
          <w:rFonts w:hint="eastAsia" w:hAnsi="宋体"/>
          <w:szCs w:val="21"/>
        </w:rPr>
        <w:t>招标公告，我方决定参加贵方组织的</w:t>
      </w:r>
      <w:r>
        <w:rPr>
          <w:rFonts w:hint="eastAsia" w:hAnsi="宋体"/>
          <w:szCs w:val="21"/>
          <w:u w:val="single"/>
        </w:rPr>
        <w:t xml:space="preserve">                       </w:t>
      </w:r>
      <w:r>
        <w:rPr>
          <w:rFonts w:hint="eastAsia" w:hAnsi="宋体"/>
          <w:szCs w:val="21"/>
        </w:rPr>
        <w:t>项目的招标采购活动。我方授权</w:t>
      </w:r>
      <w:r>
        <w:rPr>
          <w:rFonts w:hint="eastAsia" w:hAnsi="宋体"/>
          <w:szCs w:val="21"/>
          <w:u w:val="single"/>
        </w:rPr>
        <w:t xml:space="preserve">        </w:t>
      </w:r>
      <w:r>
        <w:rPr>
          <w:rFonts w:hint="eastAsia" w:hAnsi="宋体"/>
          <w:szCs w:val="21"/>
        </w:rPr>
        <w:t>(姓名和职务)代表我方</w:t>
      </w:r>
      <w:r>
        <w:rPr>
          <w:rFonts w:hint="eastAsia" w:hAnsi="宋体"/>
          <w:szCs w:val="21"/>
          <w:u w:val="single"/>
        </w:rPr>
        <w:t xml:space="preserve">                    </w:t>
      </w:r>
      <w:r>
        <w:rPr>
          <w:rFonts w:hint="eastAsia" w:hAnsi="宋体"/>
          <w:szCs w:val="21"/>
        </w:rPr>
        <w:t>（投标人的名称）全权处理本项目投标的有关事宜。</w:t>
      </w:r>
    </w:p>
    <w:p>
      <w:pPr>
        <w:pStyle w:val="15"/>
        <w:tabs>
          <w:tab w:val="left" w:pos="5580"/>
        </w:tabs>
        <w:spacing w:line="360" w:lineRule="auto"/>
        <w:ind w:firstLine="420" w:firstLineChars="200"/>
        <w:rPr>
          <w:rFonts w:hAnsi="宋体"/>
          <w:szCs w:val="21"/>
        </w:rPr>
      </w:pPr>
      <w:r>
        <w:rPr>
          <w:rFonts w:hint="eastAsia" w:hAnsi="宋体"/>
          <w:szCs w:val="21"/>
        </w:rPr>
        <w:t>2、我方愿意按照招标文件规定的各项要求，向采购人提供所需的服务，投标</w:t>
      </w:r>
      <w:r>
        <w:rPr>
          <w:rFonts w:hint="eastAsia" w:hAnsi="宋体"/>
          <w:szCs w:val="21"/>
          <w:lang w:eastAsia="zh-CN"/>
        </w:rPr>
        <w:t>总价</w:t>
      </w:r>
      <w:r>
        <w:rPr>
          <w:rFonts w:hint="eastAsia" w:hAnsi="宋体"/>
          <w:szCs w:val="21"/>
        </w:rPr>
        <w:t xml:space="preserve">（大写）为 </w:t>
      </w:r>
      <w:r>
        <w:rPr>
          <w:rFonts w:hint="eastAsia" w:hAnsi="宋体"/>
          <w:szCs w:val="21"/>
          <w:u w:val="single"/>
        </w:rPr>
        <w:t xml:space="preserve">                </w:t>
      </w:r>
      <w:r>
        <w:rPr>
          <w:rFonts w:hint="eastAsia" w:hAnsi="宋体"/>
          <w:szCs w:val="21"/>
        </w:rPr>
        <w:t>(小写)</w:t>
      </w:r>
      <w:r>
        <w:rPr>
          <w:rFonts w:hint="eastAsia" w:hAnsi="宋体"/>
          <w:szCs w:val="21"/>
          <w:u w:val="single"/>
        </w:rPr>
        <w:t xml:space="preserve">                 </w:t>
      </w:r>
      <w:r>
        <w:rPr>
          <w:rFonts w:hint="eastAsia" w:hAnsi="宋体"/>
          <w:szCs w:val="21"/>
        </w:rPr>
        <w:t xml:space="preserve"> 。</w:t>
      </w:r>
    </w:p>
    <w:p>
      <w:pPr>
        <w:pStyle w:val="15"/>
        <w:tabs>
          <w:tab w:val="left" w:pos="5580"/>
        </w:tabs>
        <w:spacing w:line="360" w:lineRule="auto"/>
        <w:ind w:firstLine="420" w:firstLineChars="200"/>
        <w:rPr>
          <w:rFonts w:hAnsi="宋体"/>
          <w:szCs w:val="21"/>
        </w:rPr>
      </w:pPr>
      <w:r>
        <w:rPr>
          <w:rFonts w:hint="eastAsia" w:hAnsi="宋体"/>
          <w:szCs w:val="21"/>
        </w:rPr>
        <w:t>3、一旦我方中标，我方将严格履行合同规定的责任和义务，保证该项目的服务期为自合同签订之日起</w:t>
      </w:r>
      <w:r>
        <w:rPr>
          <w:rFonts w:hint="eastAsia" w:hAnsi="宋体"/>
          <w:szCs w:val="21"/>
          <w:u w:val="single"/>
        </w:rPr>
        <w:t xml:space="preserve">     </w:t>
      </w:r>
      <w:r>
        <w:rPr>
          <w:rFonts w:hint="eastAsia" w:hAnsi="宋体"/>
          <w:szCs w:val="21"/>
        </w:rPr>
        <w:t>月。</w:t>
      </w:r>
    </w:p>
    <w:p>
      <w:pPr>
        <w:pStyle w:val="15"/>
        <w:tabs>
          <w:tab w:val="left" w:pos="5580"/>
        </w:tabs>
        <w:spacing w:line="360" w:lineRule="auto"/>
        <w:ind w:firstLine="417" w:firstLineChars="199"/>
        <w:rPr>
          <w:rFonts w:hAnsi="宋体"/>
          <w:szCs w:val="21"/>
        </w:rPr>
      </w:pPr>
      <w:r>
        <w:rPr>
          <w:rFonts w:hint="eastAsia" w:hAnsi="宋体"/>
          <w:szCs w:val="21"/>
        </w:rPr>
        <w:t>4、我方保证按照本项目招标文件要求提交投标文件。</w:t>
      </w:r>
    </w:p>
    <w:p>
      <w:pPr>
        <w:pStyle w:val="15"/>
        <w:tabs>
          <w:tab w:val="left" w:pos="5580"/>
        </w:tabs>
        <w:spacing w:line="360" w:lineRule="auto"/>
        <w:ind w:firstLine="417" w:firstLineChars="199"/>
        <w:rPr>
          <w:rFonts w:hAnsi="宋体"/>
          <w:szCs w:val="21"/>
        </w:rPr>
      </w:pPr>
      <w:r>
        <w:rPr>
          <w:rFonts w:hint="eastAsia" w:hAnsi="宋体"/>
          <w:szCs w:val="21"/>
        </w:rPr>
        <w:t>5、我方愿意提供贵方可能另外要求的、与投标有关的文件资料，并保证我方已提供和将要提供的文件是真实的、准确的。</w:t>
      </w:r>
    </w:p>
    <w:p>
      <w:pPr>
        <w:pStyle w:val="15"/>
        <w:tabs>
          <w:tab w:val="left" w:pos="5580"/>
        </w:tabs>
        <w:spacing w:line="360" w:lineRule="auto"/>
        <w:ind w:firstLine="417" w:firstLineChars="199"/>
        <w:rPr>
          <w:rFonts w:hAnsi="宋体"/>
          <w:szCs w:val="21"/>
        </w:rPr>
      </w:pPr>
    </w:p>
    <w:p>
      <w:pPr>
        <w:pStyle w:val="15"/>
        <w:tabs>
          <w:tab w:val="left" w:pos="5580"/>
        </w:tabs>
        <w:spacing w:line="360" w:lineRule="auto"/>
        <w:ind w:right="360" w:firstLine="3570" w:firstLineChars="1700"/>
        <w:rPr>
          <w:rFonts w:hAnsi="宋体"/>
          <w:szCs w:val="21"/>
        </w:rPr>
      </w:pPr>
    </w:p>
    <w:p>
      <w:pPr>
        <w:pStyle w:val="15"/>
        <w:tabs>
          <w:tab w:val="left" w:pos="5580"/>
        </w:tabs>
        <w:spacing w:line="360" w:lineRule="auto"/>
        <w:ind w:right="360" w:firstLine="3570" w:firstLineChars="1700"/>
        <w:rPr>
          <w:rFonts w:hAnsi="宋体"/>
          <w:szCs w:val="21"/>
        </w:rPr>
      </w:pPr>
    </w:p>
    <w:p>
      <w:pPr>
        <w:pStyle w:val="15"/>
        <w:tabs>
          <w:tab w:val="left" w:pos="5580"/>
        </w:tabs>
        <w:spacing w:line="480" w:lineRule="auto"/>
        <w:ind w:right="360" w:firstLine="3570" w:firstLineChars="1700"/>
        <w:rPr>
          <w:rFonts w:hAnsi="宋体"/>
          <w:szCs w:val="21"/>
          <w:u w:val="single"/>
        </w:rPr>
      </w:pPr>
      <w:r>
        <w:rPr>
          <w:rFonts w:hint="eastAsia" w:hAnsi="宋体"/>
          <w:szCs w:val="21"/>
        </w:rPr>
        <w:t>投标人：</w:t>
      </w:r>
      <w:r>
        <w:rPr>
          <w:rFonts w:hint="eastAsia" w:hAnsi="宋体"/>
          <w:szCs w:val="21"/>
          <w:u w:val="single"/>
        </w:rPr>
        <w:t xml:space="preserve">                           （盖章） </w:t>
      </w:r>
    </w:p>
    <w:p>
      <w:pPr>
        <w:pStyle w:val="15"/>
        <w:tabs>
          <w:tab w:val="left" w:pos="5580"/>
        </w:tabs>
        <w:spacing w:line="480" w:lineRule="auto"/>
        <w:ind w:firstLine="420" w:firstLineChars="200"/>
        <w:rPr>
          <w:rFonts w:hAnsi="宋体"/>
          <w:szCs w:val="21"/>
          <w:u w:val="single"/>
        </w:rPr>
      </w:pPr>
      <w:r>
        <w:rPr>
          <w:rFonts w:hint="eastAsia" w:hAnsi="宋体"/>
          <w:szCs w:val="21"/>
        </w:rPr>
        <w:t xml:space="preserve">                              单位地址：</w:t>
      </w:r>
      <w:r>
        <w:rPr>
          <w:rFonts w:hint="eastAsia" w:hAnsi="宋体"/>
          <w:szCs w:val="21"/>
          <w:u w:val="single"/>
        </w:rPr>
        <w:tab/>
      </w:r>
      <w:r>
        <w:rPr>
          <w:rFonts w:hint="eastAsia" w:hAnsi="宋体"/>
          <w:szCs w:val="21"/>
          <w:u w:val="single"/>
        </w:rPr>
        <w:tab/>
      </w:r>
      <w:r>
        <w:rPr>
          <w:rFonts w:hint="eastAsia" w:hAnsi="宋体"/>
          <w:szCs w:val="21"/>
          <w:u w:val="single"/>
        </w:rPr>
        <w:tab/>
      </w:r>
      <w:r>
        <w:rPr>
          <w:rFonts w:hint="eastAsia" w:hAnsi="宋体"/>
          <w:szCs w:val="21"/>
          <w:u w:val="single"/>
        </w:rPr>
        <w:tab/>
      </w:r>
      <w:r>
        <w:rPr>
          <w:rFonts w:hint="eastAsia" w:hAnsi="宋体"/>
          <w:szCs w:val="21"/>
          <w:u w:val="single"/>
        </w:rPr>
        <w:tab/>
      </w:r>
      <w:r>
        <w:rPr>
          <w:rFonts w:hint="eastAsia" w:hAnsi="宋体"/>
          <w:szCs w:val="21"/>
          <w:u w:val="single"/>
        </w:rPr>
        <w:tab/>
      </w:r>
      <w:r>
        <w:rPr>
          <w:rFonts w:hint="eastAsia" w:hAnsi="宋体"/>
          <w:szCs w:val="21"/>
          <w:u w:val="single"/>
        </w:rPr>
        <w:t xml:space="preserve">      </w:t>
      </w:r>
    </w:p>
    <w:p>
      <w:pPr>
        <w:pStyle w:val="15"/>
        <w:tabs>
          <w:tab w:val="left" w:pos="5580"/>
        </w:tabs>
        <w:spacing w:line="480" w:lineRule="auto"/>
        <w:ind w:firstLine="420" w:firstLineChars="200"/>
        <w:rPr>
          <w:rFonts w:hAnsi="宋体"/>
          <w:szCs w:val="21"/>
          <w:u w:val="single"/>
        </w:rPr>
      </w:pPr>
      <w:r>
        <w:rPr>
          <w:rFonts w:hint="eastAsia" w:hAnsi="宋体"/>
          <w:szCs w:val="21"/>
        </w:rPr>
        <w:t xml:space="preserve">                              法定代表人：</w:t>
      </w:r>
      <w:r>
        <w:rPr>
          <w:rFonts w:hint="eastAsia" w:hAnsi="宋体"/>
          <w:szCs w:val="21"/>
          <w:u w:val="single"/>
        </w:rPr>
        <w:t xml:space="preserve">                        （盖章）</w:t>
      </w:r>
    </w:p>
    <w:p>
      <w:pPr>
        <w:pStyle w:val="15"/>
        <w:tabs>
          <w:tab w:val="left" w:pos="5580"/>
        </w:tabs>
        <w:spacing w:line="480" w:lineRule="auto"/>
        <w:ind w:firstLine="3570" w:firstLineChars="1700"/>
        <w:rPr>
          <w:rFonts w:hAnsi="宋体"/>
          <w:szCs w:val="21"/>
        </w:rPr>
      </w:pPr>
      <w:r>
        <w:rPr>
          <w:rFonts w:hint="eastAsia" w:hAnsi="宋体"/>
          <w:szCs w:val="21"/>
        </w:rPr>
        <w:t>日期：       年      月      日</w:t>
      </w:r>
    </w:p>
    <w:p>
      <w:pPr>
        <w:spacing w:line="360" w:lineRule="auto"/>
        <w:ind w:firstLine="480" w:firstLineChars="200"/>
        <w:jc w:val="center"/>
        <w:rPr>
          <w:rFonts w:ascii="宋体" w:hAnsi="宋体"/>
          <w:sz w:val="24"/>
        </w:rPr>
      </w:pPr>
    </w:p>
    <w:p>
      <w:pPr>
        <w:spacing w:line="360" w:lineRule="auto"/>
        <w:ind w:firstLine="480" w:firstLineChars="200"/>
        <w:jc w:val="center"/>
        <w:rPr>
          <w:rFonts w:ascii="宋体" w:hAnsi="宋体"/>
          <w:sz w:val="24"/>
        </w:rPr>
      </w:pPr>
    </w:p>
    <w:p>
      <w:pPr>
        <w:spacing w:line="360" w:lineRule="auto"/>
        <w:ind w:firstLine="480" w:firstLineChars="200"/>
        <w:jc w:val="center"/>
        <w:rPr>
          <w:rFonts w:ascii="宋体" w:hAnsi="宋体"/>
          <w:sz w:val="24"/>
        </w:rPr>
      </w:pPr>
    </w:p>
    <w:p>
      <w:pPr>
        <w:spacing w:line="360" w:lineRule="auto"/>
        <w:ind w:firstLine="480" w:firstLineChars="200"/>
        <w:jc w:val="center"/>
        <w:rPr>
          <w:rFonts w:ascii="宋体" w:hAnsi="宋体"/>
          <w:sz w:val="24"/>
        </w:rPr>
      </w:pPr>
    </w:p>
    <w:p>
      <w:pPr>
        <w:spacing w:line="360" w:lineRule="auto"/>
        <w:ind w:firstLine="480" w:firstLineChars="200"/>
        <w:jc w:val="center"/>
        <w:rPr>
          <w:rFonts w:ascii="宋体" w:hAnsi="宋体"/>
          <w:sz w:val="24"/>
        </w:rPr>
      </w:pPr>
    </w:p>
    <w:p>
      <w:pPr>
        <w:spacing w:line="360" w:lineRule="auto"/>
        <w:ind w:firstLine="480" w:firstLineChars="200"/>
        <w:jc w:val="center"/>
        <w:rPr>
          <w:rFonts w:ascii="宋体" w:hAnsi="宋体"/>
          <w:sz w:val="24"/>
        </w:rPr>
      </w:pPr>
    </w:p>
    <w:p>
      <w:pPr>
        <w:spacing w:line="360" w:lineRule="auto"/>
        <w:ind w:firstLine="480" w:firstLineChars="200"/>
        <w:jc w:val="center"/>
        <w:rPr>
          <w:rFonts w:ascii="宋体" w:hAnsi="宋体"/>
          <w:sz w:val="24"/>
        </w:rPr>
      </w:pPr>
    </w:p>
    <w:p>
      <w:pPr>
        <w:pStyle w:val="2"/>
      </w:pPr>
    </w:p>
    <w:p>
      <w:pPr>
        <w:spacing w:line="360" w:lineRule="auto"/>
        <w:ind w:firstLine="480" w:firstLineChars="200"/>
        <w:jc w:val="center"/>
        <w:rPr>
          <w:rFonts w:ascii="宋体" w:hAnsi="宋体"/>
          <w:sz w:val="24"/>
        </w:rPr>
      </w:pPr>
    </w:p>
    <w:p>
      <w:pPr>
        <w:spacing w:line="360" w:lineRule="auto"/>
        <w:ind w:firstLine="480" w:firstLineChars="200"/>
        <w:jc w:val="center"/>
        <w:rPr>
          <w:rFonts w:ascii="宋体" w:hAnsi="宋体"/>
          <w:sz w:val="24"/>
        </w:rPr>
      </w:pPr>
    </w:p>
    <w:p>
      <w:pPr>
        <w:pStyle w:val="6"/>
        <w:jc w:val="center"/>
      </w:pPr>
      <w:bookmarkStart w:id="106" w:name="_Toc481873159"/>
      <w:bookmarkStart w:id="107" w:name="_Toc12161"/>
      <w:r>
        <w:rPr>
          <w:rFonts w:hint="eastAsia"/>
        </w:rPr>
        <w:t>二、服务报价表</w:t>
      </w:r>
      <w:bookmarkEnd w:id="106"/>
      <w:bookmarkEnd w:id="107"/>
    </w:p>
    <w:p>
      <w:pPr>
        <w:spacing w:line="360" w:lineRule="auto"/>
        <w:rPr>
          <w:rFonts w:ascii="宋体" w:hAnsi="宋体"/>
          <w:szCs w:val="21"/>
        </w:rPr>
      </w:pPr>
      <w:r>
        <w:rPr>
          <w:rFonts w:hint="eastAsia" w:ascii="宋体" w:hAnsi="宋体"/>
          <w:szCs w:val="21"/>
        </w:rPr>
        <w:t xml:space="preserve">项目名称：                                                            </w:t>
      </w:r>
    </w:p>
    <w:tbl>
      <w:tblPr>
        <w:tblStyle w:val="28"/>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5"/>
        <w:gridCol w:w="1035"/>
        <w:gridCol w:w="628"/>
        <w:gridCol w:w="1035"/>
        <w:gridCol w:w="1650"/>
        <w:gridCol w:w="1447"/>
        <w:gridCol w:w="1617"/>
        <w:gridCol w:w="1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324" w:type="pct"/>
            <w:noWrap/>
            <w:vAlign w:val="center"/>
          </w:tcPr>
          <w:p>
            <w:pPr>
              <w:spacing w:line="240" w:lineRule="auto"/>
              <w:jc w:val="center"/>
              <w:rPr>
                <w:bCs/>
                <w:color w:val="000000"/>
                <w:sz w:val="20"/>
                <w:szCs w:val="20"/>
              </w:rPr>
            </w:pPr>
            <w:r>
              <w:rPr>
                <w:rFonts w:hint="eastAsia"/>
                <w:bCs/>
                <w:color w:val="000000"/>
                <w:sz w:val="20"/>
                <w:szCs w:val="20"/>
              </w:rPr>
              <w:t>序号</w:t>
            </w:r>
          </w:p>
        </w:tc>
        <w:tc>
          <w:tcPr>
            <w:tcW w:w="536" w:type="pct"/>
            <w:noWrap/>
            <w:vAlign w:val="center"/>
          </w:tcPr>
          <w:p>
            <w:pPr>
              <w:spacing w:line="240" w:lineRule="auto"/>
              <w:jc w:val="center"/>
              <w:rPr>
                <w:bCs/>
                <w:color w:val="000000"/>
                <w:sz w:val="20"/>
                <w:szCs w:val="20"/>
              </w:rPr>
            </w:pPr>
            <w:r>
              <w:rPr>
                <w:rFonts w:hint="eastAsia"/>
                <w:bCs/>
                <w:color w:val="000000"/>
                <w:sz w:val="20"/>
                <w:szCs w:val="20"/>
                <w:lang w:val="en-US" w:eastAsia="zh-CN"/>
              </w:rPr>
              <w:t>货物</w:t>
            </w:r>
            <w:r>
              <w:rPr>
                <w:rFonts w:hint="eastAsia"/>
                <w:bCs/>
                <w:color w:val="000000"/>
                <w:sz w:val="20"/>
                <w:szCs w:val="20"/>
              </w:rPr>
              <w:t>名称</w:t>
            </w:r>
          </w:p>
        </w:tc>
        <w:tc>
          <w:tcPr>
            <w:tcW w:w="325" w:type="pct"/>
            <w:noWrap w:val="0"/>
            <w:vAlign w:val="center"/>
          </w:tcPr>
          <w:p>
            <w:pPr>
              <w:spacing w:line="240" w:lineRule="auto"/>
              <w:jc w:val="center"/>
              <w:rPr>
                <w:rFonts w:hint="eastAsia"/>
                <w:bCs/>
                <w:color w:val="000000"/>
                <w:sz w:val="20"/>
                <w:szCs w:val="20"/>
              </w:rPr>
            </w:pPr>
            <w:r>
              <w:rPr>
                <w:rFonts w:hint="eastAsia"/>
                <w:bCs/>
                <w:color w:val="000000"/>
                <w:sz w:val="20"/>
                <w:szCs w:val="20"/>
              </w:rPr>
              <w:t>单位</w:t>
            </w:r>
          </w:p>
        </w:tc>
        <w:tc>
          <w:tcPr>
            <w:tcW w:w="536" w:type="pct"/>
            <w:noWrap w:val="0"/>
            <w:vAlign w:val="center"/>
          </w:tcPr>
          <w:p>
            <w:pPr>
              <w:spacing w:line="240" w:lineRule="auto"/>
              <w:jc w:val="center"/>
              <w:rPr>
                <w:rFonts w:hint="eastAsia"/>
                <w:bCs/>
                <w:sz w:val="20"/>
                <w:szCs w:val="20"/>
              </w:rPr>
            </w:pPr>
            <w:r>
              <w:rPr>
                <w:rFonts w:hint="eastAsia"/>
                <w:bCs/>
                <w:sz w:val="20"/>
                <w:szCs w:val="20"/>
              </w:rPr>
              <w:t>投标品牌</w:t>
            </w:r>
          </w:p>
        </w:tc>
        <w:tc>
          <w:tcPr>
            <w:tcW w:w="854" w:type="pct"/>
            <w:noWrap w:val="0"/>
            <w:vAlign w:val="center"/>
          </w:tcPr>
          <w:p>
            <w:pPr>
              <w:spacing w:line="240" w:lineRule="auto"/>
              <w:jc w:val="center"/>
              <w:rPr>
                <w:rFonts w:hint="eastAsia"/>
                <w:bCs/>
                <w:sz w:val="20"/>
                <w:szCs w:val="20"/>
              </w:rPr>
            </w:pPr>
            <w:r>
              <w:rPr>
                <w:rFonts w:hint="eastAsia"/>
                <w:bCs/>
                <w:sz w:val="20"/>
                <w:szCs w:val="20"/>
              </w:rPr>
              <w:t>集采平台流水号</w:t>
            </w:r>
          </w:p>
        </w:tc>
        <w:tc>
          <w:tcPr>
            <w:tcW w:w="749" w:type="pct"/>
            <w:noWrap w:val="0"/>
            <w:vAlign w:val="center"/>
          </w:tcPr>
          <w:p>
            <w:pPr>
              <w:spacing w:line="240" w:lineRule="auto"/>
              <w:jc w:val="center"/>
              <w:rPr>
                <w:rFonts w:hint="eastAsia"/>
                <w:bCs/>
                <w:sz w:val="20"/>
                <w:szCs w:val="20"/>
              </w:rPr>
            </w:pPr>
            <w:r>
              <w:rPr>
                <w:rFonts w:hint="eastAsia"/>
                <w:bCs/>
                <w:sz w:val="20"/>
                <w:szCs w:val="20"/>
              </w:rPr>
              <w:t>集采品牌限价</w:t>
            </w:r>
          </w:p>
        </w:tc>
        <w:tc>
          <w:tcPr>
            <w:tcW w:w="837" w:type="pct"/>
            <w:noWrap w:val="0"/>
            <w:vAlign w:val="center"/>
          </w:tcPr>
          <w:p>
            <w:pPr>
              <w:spacing w:line="240" w:lineRule="auto"/>
              <w:jc w:val="center"/>
              <w:rPr>
                <w:rFonts w:hint="eastAsia" w:eastAsia="宋体"/>
                <w:bCs/>
                <w:sz w:val="20"/>
                <w:szCs w:val="20"/>
                <w:lang w:eastAsia="zh-CN"/>
              </w:rPr>
            </w:pPr>
            <w:r>
              <w:rPr>
                <w:rFonts w:hint="eastAsia"/>
                <w:bCs/>
                <w:sz w:val="20"/>
                <w:szCs w:val="20"/>
              </w:rPr>
              <w:t>投标包装规格</w:t>
            </w:r>
          </w:p>
        </w:tc>
        <w:tc>
          <w:tcPr>
            <w:tcW w:w="837" w:type="pct"/>
            <w:noWrap w:val="0"/>
            <w:vAlign w:val="center"/>
          </w:tcPr>
          <w:p>
            <w:pPr>
              <w:spacing w:line="240" w:lineRule="auto"/>
              <w:jc w:val="center"/>
              <w:rPr>
                <w:rFonts w:hint="eastAsia" w:eastAsia="宋体"/>
                <w:bCs/>
                <w:sz w:val="20"/>
                <w:szCs w:val="20"/>
                <w:lang w:val="en-US" w:eastAsia="zh-CN"/>
              </w:rPr>
            </w:pPr>
            <w:r>
              <w:rPr>
                <w:rFonts w:hint="eastAsia"/>
                <w:bCs/>
                <w:sz w:val="20"/>
                <w:szCs w:val="20"/>
                <w:lang w:val="en-US" w:eastAsia="zh-CN"/>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324" w:type="pct"/>
            <w:noWrap/>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536" w:type="pct"/>
            <w:noWrap/>
            <w:vAlign w:val="center"/>
          </w:tcPr>
          <w:p>
            <w:pPr>
              <w:widowControl/>
              <w:spacing w:line="240" w:lineRule="auto"/>
              <w:jc w:val="center"/>
              <w:rPr>
                <w:rFonts w:ascii="宋体" w:hAnsi="宋体" w:cs="宋体"/>
                <w:kern w:val="0"/>
                <w:sz w:val="20"/>
                <w:szCs w:val="20"/>
              </w:rPr>
            </w:pPr>
          </w:p>
        </w:tc>
        <w:tc>
          <w:tcPr>
            <w:tcW w:w="325" w:type="pct"/>
            <w:noWrap w:val="0"/>
            <w:vAlign w:val="top"/>
          </w:tcPr>
          <w:p>
            <w:pPr>
              <w:spacing w:line="240" w:lineRule="auto"/>
              <w:jc w:val="center"/>
              <w:rPr>
                <w:rFonts w:hint="eastAsia"/>
                <w:color w:val="000000"/>
                <w:sz w:val="20"/>
                <w:szCs w:val="20"/>
              </w:rPr>
            </w:pPr>
          </w:p>
        </w:tc>
        <w:tc>
          <w:tcPr>
            <w:tcW w:w="536" w:type="pct"/>
            <w:noWrap w:val="0"/>
            <w:vAlign w:val="top"/>
          </w:tcPr>
          <w:p>
            <w:pPr>
              <w:spacing w:line="240" w:lineRule="auto"/>
              <w:jc w:val="center"/>
              <w:rPr>
                <w:rFonts w:hint="eastAsia"/>
                <w:sz w:val="20"/>
                <w:szCs w:val="20"/>
              </w:rPr>
            </w:pPr>
          </w:p>
        </w:tc>
        <w:tc>
          <w:tcPr>
            <w:tcW w:w="854" w:type="pct"/>
            <w:noWrap w:val="0"/>
            <w:vAlign w:val="top"/>
          </w:tcPr>
          <w:p>
            <w:pPr>
              <w:spacing w:line="240" w:lineRule="auto"/>
              <w:jc w:val="center"/>
              <w:rPr>
                <w:rFonts w:hint="eastAsia"/>
                <w:sz w:val="20"/>
                <w:szCs w:val="20"/>
              </w:rPr>
            </w:pPr>
          </w:p>
        </w:tc>
        <w:tc>
          <w:tcPr>
            <w:tcW w:w="749" w:type="pct"/>
            <w:noWrap w:val="0"/>
            <w:vAlign w:val="top"/>
          </w:tcPr>
          <w:p>
            <w:pPr>
              <w:spacing w:line="240" w:lineRule="auto"/>
              <w:jc w:val="center"/>
              <w:rPr>
                <w:rFonts w:hint="eastAsia"/>
                <w:sz w:val="20"/>
                <w:szCs w:val="20"/>
              </w:rPr>
            </w:pPr>
          </w:p>
        </w:tc>
        <w:tc>
          <w:tcPr>
            <w:tcW w:w="837" w:type="pct"/>
            <w:noWrap w:val="0"/>
            <w:vAlign w:val="top"/>
          </w:tcPr>
          <w:p>
            <w:pPr>
              <w:spacing w:line="240" w:lineRule="auto"/>
              <w:jc w:val="center"/>
              <w:rPr>
                <w:rFonts w:hint="eastAsia"/>
                <w:sz w:val="20"/>
                <w:szCs w:val="20"/>
              </w:rPr>
            </w:pPr>
          </w:p>
        </w:tc>
        <w:tc>
          <w:tcPr>
            <w:tcW w:w="837" w:type="pct"/>
            <w:noWrap w:val="0"/>
            <w:vAlign w:val="top"/>
          </w:tcPr>
          <w:p>
            <w:pPr>
              <w:spacing w:line="240" w:lineRule="auto"/>
              <w:jc w:val="center"/>
              <w:rPr>
                <w:rFonts w:hint="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324" w:type="pct"/>
            <w:noWrap/>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536" w:type="pct"/>
            <w:noWrap/>
            <w:vAlign w:val="center"/>
          </w:tcPr>
          <w:p>
            <w:pPr>
              <w:widowControl/>
              <w:spacing w:line="240" w:lineRule="auto"/>
              <w:jc w:val="center"/>
              <w:rPr>
                <w:rFonts w:ascii="宋体" w:hAnsi="宋体" w:cs="宋体"/>
                <w:kern w:val="0"/>
                <w:sz w:val="20"/>
                <w:szCs w:val="20"/>
              </w:rPr>
            </w:pPr>
          </w:p>
        </w:tc>
        <w:tc>
          <w:tcPr>
            <w:tcW w:w="325" w:type="pct"/>
            <w:noWrap w:val="0"/>
            <w:vAlign w:val="top"/>
          </w:tcPr>
          <w:p>
            <w:pPr>
              <w:spacing w:line="240" w:lineRule="auto"/>
              <w:jc w:val="center"/>
              <w:rPr>
                <w:rFonts w:hint="eastAsia"/>
                <w:color w:val="000000"/>
                <w:sz w:val="20"/>
                <w:szCs w:val="20"/>
              </w:rPr>
            </w:pPr>
          </w:p>
        </w:tc>
        <w:tc>
          <w:tcPr>
            <w:tcW w:w="536" w:type="pct"/>
            <w:noWrap w:val="0"/>
            <w:vAlign w:val="top"/>
          </w:tcPr>
          <w:p>
            <w:pPr>
              <w:spacing w:line="240" w:lineRule="auto"/>
              <w:jc w:val="center"/>
              <w:rPr>
                <w:rFonts w:hint="eastAsia"/>
                <w:sz w:val="20"/>
                <w:szCs w:val="20"/>
              </w:rPr>
            </w:pPr>
          </w:p>
        </w:tc>
        <w:tc>
          <w:tcPr>
            <w:tcW w:w="854" w:type="pct"/>
            <w:noWrap w:val="0"/>
            <w:vAlign w:val="top"/>
          </w:tcPr>
          <w:p>
            <w:pPr>
              <w:spacing w:line="240" w:lineRule="auto"/>
              <w:jc w:val="center"/>
              <w:rPr>
                <w:rFonts w:hint="eastAsia"/>
                <w:sz w:val="20"/>
                <w:szCs w:val="20"/>
              </w:rPr>
            </w:pPr>
          </w:p>
        </w:tc>
        <w:tc>
          <w:tcPr>
            <w:tcW w:w="749" w:type="pct"/>
            <w:noWrap w:val="0"/>
            <w:vAlign w:val="top"/>
          </w:tcPr>
          <w:p>
            <w:pPr>
              <w:spacing w:line="240" w:lineRule="auto"/>
              <w:jc w:val="center"/>
              <w:rPr>
                <w:rFonts w:hint="eastAsia"/>
                <w:sz w:val="20"/>
                <w:szCs w:val="20"/>
              </w:rPr>
            </w:pPr>
          </w:p>
        </w:tc>
        <w:tc>
          <w:tcPr>
            <w:tcW w:w="837" w:type="pct"/>
            <w:noWrap w:val="0"/>
            <w:vAlign w:val="top"/>
          </w:tcPr>
          <w:p>
            <w:pPr>
              <w:spacing w:line="240" w:lineRule="auto"/>
              <w:jc w:val="center"/>
              <w:rPr>
                <w:rFonts w:hint="eastAsia"/>
                <w:sz w:val="20"/>
                <w:szCs w:val="20"/>
              </w:rPr>
            </w:pPr>
          </w:p>
        </w:tc>
        <w:tc>
          <w:tcPr>
            <w:tcW w:w="837" w:type="pct"/>
            <w:noWrap w:val="0"/>
            <w:vAlign w:val="top"/>
          </w:tcPr>
          <w:p>
            <w:pPr>
              <w:spacing w:line="240" w:lineRule="auto"/>
              <w:jc w:val="center"/>
              <w:rPr>
                <w:rFonts w:hint="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324" w:type="pct"/>
            <w:noWrap/>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536" w:type="pct"/>
            <w:noWrap/>
            <w:vAlign w:val="center"/>
          </w:tcPr>
          <w:p>
            <w:pPr>
              <w:widowControl/>
              <w:spacing w:line="240" w:lineRule="auto"/>
              <w:jc w:val="center"/>
              <w:rPr>
                <w:rFonts w:ascii="宋体" w:hAnsi="宋体" w:cs="宋体"/>
                <w:kern w:val="0"/>
                <w:sz w:val="20"/>
                <w:szCs w:val="20"/>
              </w:rPr>
            </w:pPr>
          </w:p>
        </w:tc>
        <w:tc>
          <w:tcPr>
            <w:tcW w:w="325" w:type="pct"/>
            <w:noWrap w:val="0"/>
            <w:vAlign w:val="top"/>
          </w:tcPr>
          <w:p>
            <w:pPr>
              <w:spacing w:line="240" w:lineRule="auto"/>
              <w:jc w:val="center"/>
              <w:rPr>
                <w:rFonts w:hint="eastAsia"/>
                <w:color w:val="000000"/>
                <w:sz w:val="20"/>
                <w:szCs w:val="20"/>
              </w:rPr>
            </w:pPr>
          </w:p>
        </w:tc>
        <w:tc>
          <w:tcPr>
            <w:tcW w:w="536" w:type="pct"/>
            <w:noWrap w:val="0"/>
            <w:vAlign w:val="top"/>
          </w:tcPr>
          <w:p>
            <w:pPr>
              <w:spacing w:line="240" w:lineRule="auto"/>
              <w:jc w:val="center"/>
              <w:rPr>
                <w:rFonts w:hint="eastAsia"/>
                <w:sz w:val="20"/>
                <w:szCs w:val="20"/>
              </w:rPr>
            </w:pPr>
          </w:p>
        </w:tc>
        <w:tc>
          <w:tcPr>
            <w:tcW w:w="854" w:type="pct"/>
            <w:noWrap w:val="0"/>
            <w:vAlign w:val="top"/>
          </w:tcPr>
          <w:p>
            <w:pPr>
              <w:spacing w:line="240" w:lineRule="auto"/>
              <w:jc w:val="center"/>
              <w:rPr>
                <w:rFonts w:hint="eastAsia"/>
                <w:sz w:val="20"/>
                <w:szCs w:val="20"/>
              </w:rPr>
            </w:pPr>
          </w:p>
        </w:tc>
        <w:tc>
          <w:tcPr>
            <w:tcW w:w="749" w:type="pct"/>
            <w:noWrap w:val="0"/>
            <w:vAlign w:val="top"/>
          </w:tcPr>
          <w:p>
            <w:pPr>
              <w:spacing w:line="240" w:lineRule="auto"/>
              <w:jc w:val="center"/>
              <w:rPr>
                <w:rFonts w:hint="eastAsia"/>
                <w:sz w:val="20"/>
                <w:szCs w:val="20"/>
              </w:rPr>
            </w:pPr>
          </w:p>
        </w:tc>
        <w:tc>
          <w:tcPr>
            <w:tcW w:w="837" w:type="pct"/>
            <w:noWrap w:val="0"/>
            <w:vAlign w:val="top"/>
          </w:tcPr>
          <w:p>
            <w:pPr>
              <w:spacing w:line="240" w:lineRule="auto"/>
              <w:jc w:val="center"/>
              <w:rPr>
                <w:rFonts w:hint="eastAsia"/>
                <w:sz w:val="20"/>
                <w:szCs w:val="20"/>
              </w:rPr>
            </w:pPr>
          </w:p>
        </w:tc>
        <w:tc>
          <w:tcPr>
            <w:tcW w:w="837" w:type="pct"/>
            <w:noWrap w:val="0"/>
            <w:vAlign w:val="top"/>
          </w:tcPr>
          <w:p>
            <w:pPr>
              <w:spacing w:line="240" w:lineRule="auto"/>
              <w:jc w:val="center"/>
              <w:rPr>
                <w:rFonts w:hint="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324" w:type="pct"/>
            <w:noWrap/>
            <w:vAlign w:val="center"/>
          </w:tcPr>
          <w:p>
            <w:pPr>
              <w:widowControl/>
              <w:spacing w:line="240" w:lineRule="auto"/>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w:t>
            </w:r>
          </w:p>
        </w:tc>
        <w:tc>
          <w:tcPr>
            <w:tcW w:w="536" w:type="pct"/>
            <w:noWrap/>
            <w:vAlign w:val="center"/>
          </w:tcPr>
          <w:p>
            <w:pPr>
              <w:widowControl/>
              <w:spacing w:line="240" w:lineRule="auto"/>
              <w:jc w:val="center"/>
              <w:rPr>
                <w:rFonts w:hint="eastAsia" w:ascii="宋体" w:hAnsi="宋体" w:cs="宋体"/>
                <w:kern w:val="0"/>
                <w:sz w:val="20"/>
                <w:szCs w:val="20"/>
              </w:rPr>
            </w:pPr>
          </w:p>
        </w:tc>
        <w:tc>
          <w:tcPr>
            <w:tcW w:w="325" w:type="pct"/>
            <w:noWrap w:val="0"/>
            <w:vAlign w:val="top"/>
          </w:tcPr>
          <w:p>
            <w:pPr>
              <w:spacing w:line="240" w:lineRule="auto"/>
              <w:jc w:val="center"/>
              <w:rPr>
                <w:rFonts w:hint="eastAsia"/>
                <w:color w:val="000000"/>
                <w:sz w:val="20"/>
                <w:szCs w:val="20"/>
              </w:rPr>
            </w:pPr>
          </w:p>
        </w:tc>
        <w:tc>
          <w:tcPr>
            <w:tcW w:w="536" w:type="pct"/>
            <w:noWrap w:val="0"/>
            <w:vAlign w:val="top"/>
          </w:tcPr>
          <w:p>
            <w:pPr>
              <w:spacing w:line="240" w:lineRule="auto"/>
              <w:jc w:val="center"/>
              <w:rPr>
                <w:rFonts w:hint="eastAsia"/>
                <w:sz w:val="20"/>
                <w:szCs w:val="20"/>
              </w:rPr>
            </w:pPr>
          </w:p>
        </w:tc>
        <w:tc>
          <w:tcPr>
            <w:tcW w:w="854" w:type="pct"/>
            <w:noWrap w:val="0"/>
            <w:vAlign w:val="top"/>
          </w:tcPr>
          <w:p>
            <w:pPr>
              <w:spacing w:line="240" w:lineRule="auto"/>
              <w:jc w:val="center"/>
              <w:rPr>
                <w:rFonts w:hint="eastAsia"/>
                <w:sz w:val="20"/>
                <w:szCs w:val="20"/>
              </w:rPr>
            </w:pPr>
          </w:p>
        </w:tc>
        <w:tc>
          <w:tcPr>
            <w:tcW w:w="749" w:type="pct"/>
            <w:noWrap w:val="0"/>
            <w:vAlign w:val="top"/>
          </w:tcPr>
          <w:p>
            <w:pPr>
              <w:spacing w:line="240" w:lineRule="auto"/>
              <w:jc w:val="center"/>
              <w:rPr>
                <w:rFonts w:hint="eastAsia"/>
                <w:sz w:val="20"/>
                <w:szCs w:val="20"/>
              </w:rPr>
            </w:pPr>
          </w:p>
        </w:tc>
        <w:tc>
          <w:tcPr>
            <w:tcW w:w="837" w:type="pct"/>
            <w:noWrap w:val="0"/>
            <w:vAlign w:val="top"/>
          </w:tcPr>
          <w:p>
            <w:pPr>
              <w:spacing w:line="240" w:lineRule="auto"/>
              <w:jc w:val="center"/>
              <w:rPr>
                <w:rFonts w:hint="eastAsia"/>
                <w:sz w:val="20"/>
                <w:szCs w:val="20"/>
              </w:rPr>
            </w:pPr>
          </w:p>
        </w:tc>
        <w:tc>
          <w:tcPr>
            <w:tcW w:w="837" w:type="pct"/>
            <w:noWrap w:val="0"/>
            <w:vAlign w:val="top"/>
          </w:tcPr>
          <w:p>
            <w:pPr>
              <w:spacing w:line="240" w:lineRule="auto"/>
              <w:jc w:val="center"/>
              <w:rPr>
                <w:rFonts w:hint="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324" w:type="pct"/>
            <w:noWrap/>
            <w:vAlign w:val="center"/>
          </w:tcPr>
          <w:p>
            <w:pPr>
              <w:widowControl/>
              <w:spacing w:line="240" w:lineRule="auto"/>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w:t>
            </w:r>
          </w:p>
        </w:tc>
        <w:tc>
          <w:tcPr>
            <w:tcW w:w="536" w:type="pct"/>
            <w:noWrap/>
            <w:vAlign w:val="center"/>
          </w:tcPr>
          <w:p>
            <w:pPr>
              <w:widowControl/>
              <w:spacing w:line="240" w:lineRule="auto"/>
              <w:jc w:val="center"/>
              <w:rPr>
                <w:rFonts w:hint="eastAsia" w:ascii="宋体" w:hAnsi="宋体" w:cs="宋体"/>
                <w:kern w:val="0"/>
                <w:sz w:val="20"/>
                <w:szCs w:val="20"/>
              </w:rPr>
            </w:pPr>
          </w:p>
        </w:tc>
        <w:tc>
          <w:tcPr>
            <w:tcW w:w="325" w:type="pct"/>
            <w:noWrap w:val="0"/>
            <w:vAlign w:val="top"/>
          </w:tcPr>
          <w:p>
            <w:pPr>
              <w:spacing w:line="240" w:lineRule="auto"/>
              <w:jc w:val="center"/>
              <w:rPr>
                <w:rFonts w:hint="eastAsia"/>
                <w:color w:val="000000"/>
                <w:sz w:val="20"/>
                <w:szCs w:val="20"/>
              </w:rPr>
            </w:pPr>
          </w:p>
        </w:tc>
        <w:tc>
          <w:tcPr>
            <w:tcW w:w="536" w:type="pct"/>
            <w:noWrap w:val="0"/>
            <w:vAlign w:val="top"/>
          </w:tcPr>
          <w:p>
            <w:pPr>
              <w:spacing w:line="240" w:lineRule="auto"/>
              <w:jc w:val="center"/>
              <w:rPr>
                <w:rFonts w:hint="eastAsia"/>
                <w:sz w:val="20"/>
                <w:szCs w:val="20"/>
              </w:rPr>
            </w:pPr>
          </w:p>
        </w:tc>
        <w:tc>
          <w:tcPr>
            <w:tcW w:w="854" w:type="pct"/>
            <w:noWrap w:val="0"/>
            <w:vAlign w:val="top"/>
          </w:tcPr>
          <w:p>
            <w:pPr>
              <w:spacing w:line="240" w:lineRule="auto"/>
              <w:jc w:val="center"/>
              <w:rPr>
                <w:rFonts w:hint="eastAsia"/>
                <w:sz w:val="20"/>
                <w:szCs w:val="20"/>
              </w:rPr>
            </w:pPr>
          </w:p>
        </w:tc>
        <w:tc>
          <w:tcPr>
            <w:tcW w:w="749" w:type="pct"/>
            <w:noWrap w:val="0"/>
            <w:vAlign w:val="top"/>
          </w:tcPr>
          <w:p>
            <w:pPr>
              <w:spacing w:line="240" w:lineRule="auto"/>
              <w:jc w:val="center"/>
              <w:rPr>
                <w:rFonts w:hint="eastAsia"/>
                <w:sz w:val="20"/>
                <w:szCs w:val="20"/>
              </w:rPr>
            </w:pPr>
          </w:p>
        </w:tc>
        <w:tc>
          <w:tcPr>
            <w:tcW w:w="837" w:type="pct"/>
            <w:noWrap w:val="0"/>
            <w:vAlign w:val="top"/>
          </w:tcPr>
          <w:p>
            <w:pPr>
              <w:spacing w:line="240" w:lineRule="auto"/>
              <w:jc w:val="center"/>
              <w:rPr>
                <w:rFonts w:hint="eastAsia"/>
                <w:sz w:val="20"/>
                <w:szCs w:val="20"/>
              </w:rPr>
            </w:pPr>
          </w:p>
        </w:tc>
        <w:tc>
          <w:tcPr>
            <w:tcW w:w="837" w:type="pct"/>
            <w:noWrap w:val="0"/>
            <w:vAlign w:val="top"/>
          </w:tcPr>
          <w:p>
            <w:pPr>
              <w:spacing w:line="240" w:lineRule="auto"/>
              <w:jc w:val="center"/>
              <w:rPr>
                <w:rFonts w:hint="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324" w:type="pct"/>
            <w:noWrap/>
            <w:vAlign w:val="center"/>
          </w:tcPr>
          <w:p>
            <w:pPr>
              <w:widowControl/>
              <w:spacing w:line="240" w:lineRule="auto"/>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w:t>
            </w:r>
          </w:p>
        </w:tc>
        <w:tc>
          <w:tcPr>
            <w:tcW w:w="536" w:type="pct"/>
            <w:noWrap/>
            <w:vAlign w:val="center"/>
          </w:tcPr>
          <w:p>
            <w:pPr>
              <w:widowControl/>
              <w:spacing w:line="240" w:lineRule="auto"/>
              <w:jc w:val="center"/>
              <w:rPr>
                <w:rFonts w:hint="eastAsia" w:ascii="宋体" w:hAnsi="宋体" w:cs="宋体"/>
                <w:kern w:val="0"/>
                <w:sz w:val="20"/>
                <w:szCs w:val="20"/>
              </w:rPr>
            </w:pPr>
          </w:p>
        </w:tc>
        <w:tc>
          <w:tcPr>
            <w:tcW w:w="325" w:type="pct"/>
            <w:noWrap w:val="0"/>
            <w:vAlign w:val="top"/>
          </w:tcPr>
          <w:p>
            <w:pPr>
              <w:spacing w:line="240" w:lineRule="auto"/>
              <w:jc w:val="center"/>
              <w:rPr>
                <w:rFonts w:hint="eastAsia"/>
                <w:color w:val="000000"/>
                <w:sz w:val="20"/>
                <w:szCs w:val="20"/>
              </w:rPr>
            </w:pPr>
          </w:p>
        </w:tc>
        <w:tc>
          <w:tcPr>
            <w:tcW w:w="536" w:type="pct"/>
            <w:noWrap w:val="0"/>
            <w:vAlign w:val="top"/>
          </w:tcPr>
          <w:p>
            <w:pPr>
              <w:spacing w:line="240" w:lineRule="auto"/>
              <w:jc w:val="center"/>
              <w:rPr>
                <w:rFonts w:hint="eastAsia"/>
                <w:sz w:val="20"/>
                <w:szCs w:val="20"/>
              </w:rPr>
            </w:pPr>
          </w:p>
        </w:tc>
        <w:tc>
          <w:tcPr>
            <w:tcW w:w="854" w:type="pct"/>
            <w:noWrap w:val="0"/>
            <w:vAlign w:val="top"/>
          </w:tcPr>
          <w:p>
            <w:pPr>
              <w:spacing w:line="240" w:lineRule="auto"/>
              <w:jc w:val="center"/>
              <w:rPr>
                <w:rFonts w:hint="eastAsia"/>
                <w:sz w:val="20"/>
                <w:szCs w:val="20"/>
              </w:rPr>
            </w:pPr>
          </w:p>
        </w:tc>
        <w:tc>
          <w:tcPr>
            <w:tcW w:w="749" w:type="pct"/>
            <w:noWrap w:val="0"/>
            <w:vAlign w:val="top"/>
          </w:tcPr>
          <w:p>
            <w:pPr>
              <w:spacing w:line="240" w:lineRule="auto"/>
              <w:jc w:val="center"/>
              <w:rPr>
                <w:rFonts w:hint="eastAsia"/>
                <w:sz w:val="20"/>
                <w:szCs w:val="20"/>
              </w:rPr>
            </w:pPr>
          </w:p>
        </w:tc>
        <w:tc>
          <w:tcPr>
            <w:tcW w:w="837" w:type="pct"/>
            <w:noWrap w:val="0"/>
            <w:vAlign w:val="top"/>
          </w:tcPr>
          <w:p>
            <w:pPr>
              <w:spacing w:line="240" w:lineRule="auto"/>
              <w:jc w:val="center"/>
              <w:rPr>
                <w:rFonts w:hint="eastAsia"/>
                <w:sz w:val="20"/>
                <w:szCs w:val="20"/>
              </w:rPr>
            </w:pPr>
          </w:p>
        </w:tc>
        <w:tc>
          <w:tcPr>
            <w:tcW w:w="837" w:type="pct"/>
            <w:noWrap w:val="0"/>
            <w:vAlign w:val="top"/>
          </w:tcPr>
          <w:p>
            <w:pPr>
              <w:spacing w:line="240" w:lineRule="auto"/>
              <w:jc w:val="center"/>
              <w:rPr>
                <w:rFonts w:hint="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324" w:type="pct"/>
            <w:noWrap/>
            <w:vAlign w:val="center"/>
          </w:tcPr>
          <w:p>
            <w:pPr>
              <w:widowControl/>
              <w:spacing w:line="240" w:lineRule="auto"/>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合价</w:t>
            </w:r>
          </w:p>
        </w:tc>
        <w:tc>
          <w:tcPr>
            <w:tcW w:w="4675" w:type="pct"/>
            <w:gridSpan w:val="7"/>
            <w:noWrap/>
            <w:vAlign w:val="center"/>
          </w:tcPr>
          <w:p>
            <w:pPr>
              <w:spacing w:line="240" w:lineRule="auto"/>
              <w:jc w:val="center"/>
              <w:rPr>
                <w:rFonts w:hint="eastAsia"/>
                <w:sz w:val="20"/>
                <w:szCs w:val="20"/>
              </w:rPr>
            </w:pPr>
          </w:p>
        </w:tc>
      </w:tr>
    </w:tbl>
    <w:p>
      <w:pPr>
        <w:spacing w:line="360" w:lineRule="auto"/>
        <w:rPr>
          <w:rFonts w:ascii="宋体" w:hAnsi="宋体"/>
          <w:szCs w:val="21"/>
        </w:rPr>
      </w:pPr>
    </w:p>
    <w:p>
      <w:pPr>
        <w:spacing w:line="360" w:lineRule="auto"/>
        <w:ind w:firstLine="105" w:firstLineChars="50"/>
        <w:rPr>
          <w:rFonts w:ascii="宋体" w:hAnsi="宋体"/>
          <w:b/>
          <w:bCs/>
        </w:rPr>
      </w:pPr>
      <w:r>
        <w:rPr>
          <w:rFonts w:hint="eastAsia" w:ascii="宋体" w:hAnsi="宋体"/>
          <w:b/>
          <w:bCs/>
        </w:rPr>
        <w:t>注：1、投标人在此表中所列的服务期内所列的检查项目名称须与服务内容及质量要求响应表中所列一致，所有产品投标</w:t>
      </w:r>
      <w:r>
        <w:rPr>
          <w:rFonts w:hint="eastAsia" w:ascii="宋体" w:hAnsi="宋体"/>
          <w:b/>
          <w:bCs/>
          <w:lang w:eastAsia="zh-CN"/>
        </w:rPr>
        <w:t>总价</w:t>
      </w:r>
      <w:r>
        <w:rPr>
          <w:rFonts w:hint="eastAsia" w:ascii="宋体" w:hAnsi="宋体"/>
          <w:b/>
          <w:bCs/>
        </w:rPr>
        <w:t>须保持一致。</w:t>
      </w:r>
    </w:p>
    <w:p>
      <w:pPr>
        <w:spacing w:line="360" w:lineRule="auto"/>
        <w:rPr>
          <w:rFonts w:ascii="宋体" w:hAnsi="宋体"/>
          <w:szCs w:val="21"/>
        </w:rPr>
      </w:pPr>
    </w:p>
    <w:p>
      <w:pPr>
        <w:spacing w:line="360" w:lineRule="auto"/>
        <w:ind w:firstLine="3561" w:firstLineChars="1696"/>
        <w:rPr>
          <w:rFonts w:ascii="宋体" w:hAnsi="宋体"/>
          <w:szCs w:val="21"/>
        </w:rPr>
      </w:pPr>
      <w:r>
        <w:rPr>
          <w:rFonts w:hint="eastAsia" w:ascii="宋体" w:hAnsi="宋体"/>
          <w:szCs w:val="21"/>
        </w:rPr>
        <w:t>投标人：</w:t>
      </w:r>
      <w:r>
        <w:rPr>
          <w:rFonts w:hint="eastAsia" w:ascii="宋体" w:hAnsi="宋体"/>
          <w:szCs w:val="21"/>
          <w:u w:val="single"/>
        </w:rPr>
        <w:t xml:space="preserve">                             </w:t>
      </w:r>
      <w:r>
        <w:rPr>
          <w:rFonts w:hint="eastAsia" w:ascii="宋体" w:hAnsi="宋体"/>
          <w:szCs w:val="21"/>
        </w:rPr>
        <w:t>（盖章）</w:t>
      </w:r>
    </w:p>
    <w:p>
      <w:pPr>
        <w:spacing w:line="360" w:lineRule="auto"/>
        <w:ind w:firstLine="3561" w:firstLineChars="1696"/>
        <w:rPr>
          <w:rFonts w:ascii="宋体" w:hAnsi="宋体"/>
          <w:szCs w:val="21"/>
        </w:rPr>
      </w:pPr>
    </w:p>
    <w:p>
      <w:pPr>
        <w:spacing w:line="360" w:lineRule="auto"/>
        <w:ind w:firstLine="3570" w:firstLineChars="1700"/>
        <w:rPr>
          <w:rFonts w:ascii="宋体" w:hAnsi="宋体"/>
          <w:szCs w:val="21"/>
        </w:rPr>
      </w:pPr>
      <w:r>
        <w:rPr>
          <w:rFonts w:hint="eastAsia" w:ascii="宋体" w:hAnsi="宋体"/>
          <w:szCs w:val="21"/>
        </w:rPr>
        <w:t>法定代表人：</w:t>
      </w:r>
      <w:r>
        <w:rPr>
          <w:rFonts w:hint="eastAsia" w:ascii="宋体" w:hAnsi="宋体"/>
          <w:szCs w:val="21"/>
          <w:u w:val="single"/>
        </w:rPr>
        <w:t xml:space="preserve">                         </w:t>
      </w:r>
      <w:r>
        <w:rPr>
          <w:rFonts w:hint="eastAsia" w:ascii="宋体" w:hAnsi="宋体"/>
          <w:szCs w:val="21"/>
        </w:rPr>
        <w:t>（盖章）</w:t>
      </w:r>
    </w:p>
    <w:p>
      <w:pPr>
        <w:spacing w:line="360" w:lineRule="auto"/>
        <w:ind w:firstLine="3570" w:firstLineChars="1700"/>
        <w:rPr>
          <w:rFonts w:ascii="宋体" w:hAnsi="宋体"/>
          <w:szCs w:val="21"/>
        </w:rPr>
      </w:pPr>
    </w:p>
    <w:p>
      <w:pPr>
        <w:spacing w:line="360" w:lineRule="auto"/>
        <w:ind w:firstLine="3570" w:firstLineChars="1700"/>
        <w:rPr>
          <w:szCs w:val="21"/>
        </w:rPr>
      </w:pPr>
      <w:r>
        <w:rPr>
          <w:rFonts w:hint="eastAsia"/>
          <w:szCs w:val="21"/>
        </w:rPr>
        <w:t>日  期：</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p>
      <w:pPr>
        <w:spacing w:line="360" w:lineRule="auto"/>
        <w:ind w:firstLine="3570" w:firstLineChars="1700"/>
        <w:rPr>
          <w:szCs w:val="21"/>
        </w:rPr>
      </w:pPr>
    </w:p>
    <w:p>
      <w:pPr>
        <w:spacing w:line="360" w:lineRule="auto"/>
        <w:ind w:firstLine="3570" w:firstLineChars="1700"/>
        <w:rPr>
          <w:szCs w:val="21"/>
        </w:rPr>
      </w:pPr>
    </w:p>
    <w:p>
      <w:pPr>
        <w:spacing w:line="360" w:lineRule="auto"/>
        <w:ind w:firstLine="3570" w:firstLineChars="1700"/>
        <w:rPr>
          <w:szCs w:val="21"/>
        </w:rPr>
      </w:pPr>
    </w:p>
    <w:p>
      <w:pPr>
        <w:spacing w:line="360" w:lineRule="auto"/>
        <w:ind w:firstLine="3570" w:firstLineChars="1700"/>
        <w:rPr>
          <w:szCs w:val="21"/>
        </w:rPr>
      </w:pPr>
    </w:p>
    <w:p>
      <w:pPr>
        <w:spacing w:line="360" w:lineRule="auto"/>
        <w:ind w:firstLine="3570" w:firstLineChars="1700"/>
        <w:rPr>
          <w:szCs w:val="21"/>
        </w:rPr>
      </w:pPr>
    </w:p>
    <w:p>
      <w:pPr>
        <w:spacing w:line="360" w:lineRule="auto"/>
        <w:ind w:firstLine="3570" w:firstLineChars="1700"/>
        <w:rPr>
          <w:szCs w:val="21"/>
        </w:rPr>
      </w:pPr>
    </w:p>
    <w:p>
      <w:pPr>
        <w:spacing w:line="360" w:lineRule="auto"/>
        <w:ind w:firstLine="3570" w:firstLineChars="1700"/>
        <w:rPr>
          <w:szCs w:val="21"/>
        </w:rPr>
      </w:pPr>
    </w:p>
    <w:p>
      <w:pPr>
        <w:pStyle w:val="27"/>
        <w:rPr>
          <w:szCs w:val="21"/>
        </w:rPr>
      </w:pPr>
    </w:p>
    <w:p>
      <w:pPr>
        <w:pStyle w:val="5"/>
        <w:rPr>
          <w:szCs w:val="21"/>
        </w:rPr>
      </w:pPr>
    </w:p>
    <w:p>
      <w:pPr>
        <w:pStyle w:val="5"/>
        <w:rPr>
          <w:szCs w:val="21"/>
        </w:rPr>
      </w:pPr>
    </w:p>
    <w:p>
      <w:pPr>
        <w:pStyle w:val="5"/>
        <w:rPr>
          <w:szCs w:val="21"/>
        </w:rPr>
      </w:pPr>
    </w:p>
    <w:p>
      <w:pPr>
        <w:pStyle w:val="5"/>
        <w:rPr>
          <w:szCs w:val="21"/>
        </w:rPr>
      </w:pPr>
    </w:p>
    <w:p>
      <w:pPr>
        <w:pStyle w:val="5"/>
        <w:rPr>
          <w:szCs w:val="21"/>
        </w:rPr>
      </w:pPr>
    </w:p>
    <w:p>
      <w:pPr>
        <w:spacing w:line="360" w:lineRule="auto"/>
        <w:ind w:firstLine="3570" w:firstLineChars="1700"/>
        <w:rPr>
          <w:szCs w:val="21"/>
        </w:rPr>
      </w:pPr>
    </w:p>
    <w:p>
      <w:pPr>
        <w:spacing w:line="360" w:lineRule="auto"/>
        <w:ind w:firstLine="3570" w:firstLineChars="1700"/>
        <w:rPr>
          <w:szCs w:val="21"/>
        </w:rPr>
      </w:pPr>
    </w:p>
    <w:p>
      <w:pPr>
        <w:spacing w:line="360" w:lineRule="auto"/>
        <w:rPr>
          <w:szCs w:val="21"/>
        </w:rPr>
      </w:pPr>
    </w:p>
    <w:p>
      <w:pPr>
        <w:pStyle w:val="6"/>
        <w:jc w:val="center"/>
      </w:pPr>
      <w:bookmarkStart w:id="108" w:name="_Toc28153"/>
      <w:bookmarkStart w:id="109" w:name="_Toc481873160"/>
      <w:r>
        <w:rPr>
          <w:rFonts w:hint="eastAsia"/>
        </w:rPr>
        <w:t>三、</w:t>
      </w:r>
      <w:bookmarkEnd w:id="108"/>
      <w:r>
        <w:rPr>
          <w:rFonts w:hint="eastAsia" w:hAnsi="宋体" w:cs="宋体"/>
        </w:rPr>
        <w:t>服务内容及质量要求响应表</w:t>
      </w:r>
      <w:bookmarkEnd w:id="109"/>
    </w:p>
    <w:p>
      <w:pPr>
        <w:spacing w:line="360" w:lineRule="auto"/>
        <w:rPr>
          <w:rFonts w:ascii="宋体" w:hAnsi="宋体"/>
          <w:b/>
          <w:szCs w:val="21"/>
        </w:rPr>
      </w:pPr>
      <w:r>
        <w:rPr>
          <w:rFonts w:hint="eastAsia" w:ascii="宋体" w:hAnsi="宋体"/>
          <w:szCs w:val="21"/>
        </w:rPr>
        <w:t>项目名称：</w:t>
      </w:r>
    </w:p>
    <w:tbl>
      <w:tblPr>
        <w:tblStyle w:val="28"/>
        <w:tblW w:w="90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6239"/>
        <w:gridCol w:w="2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exact"/>
        </w:trPr>
        <w:tc>
          <w:tcPr>
            <w:tcW w:w="647" w:type="dxa"/>
            <w:vAlign w:val="center"/>
          </w:tcPr>
          <w:p>
            <w:pPr>
              <w:spacing w:line="360" w:lineRule="auto"/>
              <w:jc w:val="center"/>
              <w:rPr>
                <w:rFonts w:ascii="宋体" w:hAnsi="宋体" w:cs="宋体"/>
                <w:szCs w:val="21"/>
              </w:rPr>
            </w:pPr>
            <w:r>
              <w:rPr>
                <w:rFonts w:hint="eastAsia" w:ascii="宋体" w:hAnsi="宋体" w:cs="宋体"/>
                <w:szCs w:val="21"/>
              </w:rPr>
              <w:t>序号</w:t>
            </w:r>
          </w:p>
        </w:tc>
        <w:tc>
          <w:tcPr>
            <w:tcW w:w="6239" w:type="dxa"/>
            <w:vAlign w:val="center"/>
          </w:tcPr>
          <w:p>
            <w:pPr>
              <w:spacing w:line="360" w:lineRule="auto"/>
              <w:jc w:val="center"/>
              <w:rPr>
                <w:rFonts w:ascii="宋体" w:hAnsi="宋体" w:cs="宋体"/>
                <w:szCs w:val="21"/>
              </w:rPr>
            </w:pPr>
            <w:r>
              <w:rPr>
                <w:rFonts w:hint="eastAsia" w:ascii="宋体" w:hAnsi="宋体" w:cs="宋体"/>
                <w:szCs w:val="21"/>
              </w:rPr>
              <w:t>投标服务内容质量要求</w:t>
            </w:r>
          </w:p>
        </w:tc>
        <w:tc>
          <w:tcPr>
            <w:tcW w:w="2209" w:type="dxa"/>
            <w:vAlign w:val="center"/>
          </w:tcPr>
          <w:p>
            <w:pPr>
              <w:spacing w:line="360" w:lineRule="auto"/>
              <w:jc w:val="center"/>
              <w:rPr>
                <w:rFonts w:ascii="宋体" w:hAnsi="宋体" w:cs="宋体"/>
                <w:szCs w:val="21"/>
              </w:rPr>
            </w:pPr>
            <w:r>
              <w:rPr>
                <w:rFonts w:hint="eastAsia" w:ascii="宋体" w:hAnsi="宋体" w:cs="宋体"/>
                <w:szCs w:val="21"/>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647" w:type="dxa"/>
            <w:vAlign w:val="center"/>
          </w:tcPr>
          <w:p>
            <w:pPr>
              <w:spacing w:line="360" w:lineRule="auto"/>
              <w:jc w:val="center"/>
              <w:rPr>
                <w:rFonts w:ascii="宋体" w:hAnsi="宋体" w:cs="宋体"/>
                <w:spacing w:val="-4"/>
                <w:szCs w:val="21"/>
              </w:rPr>
            </w:pPr>
          </w:p>
        </w:tc>
        <w:tc>
          <w:tcPr>
            <w:tcW w:w="6239" w:type="dxa"/>
            <w:vAlign w:val="center"/>
          </w:tcPr>
          <w:p>
            <w:pPr>
              <w:spacing w:line="360" w:lineRule="auto"/>
              <w:jc w:val="center"/>
              <w:rPr>
                <w:rFonts w:ascii="宋体" w:hAnsi="宋体" w:cs="宋体"/>
                <w:szCs w:val="21"/>
              </w:rPr>
            </w:pPr>
          </w:p>
        </w:tc>
        <w:tc>
          <w:tcPr>
            <w:tcW w:w="2209" w:type="dxa"/>
            <w:vAlign w:val="center"/>
          </w:tcPr>
          <w:p>
            <w:pPr>
              <w:spacing w:line="360" w:lineRule="auto"/>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647" w:type="dxa"/>
            <w:vAlign w:val="center"/>
          </w:tcPr>
          <w:p>
            <w:pPr>
              <w:spacing w:line="360" w:lineRule="auto"/>
              <w:jc w:val="center"/>
              <w:rPr>
                <w:rFonts w:ascii="宋体" w:hAnsi="宋体" w:cs="宋体"/>
                <w:spacing w:val="-4"/>
                <w:szCs w:val="21"/>
              </w:rPr>
            </w:pPr>
          </w:p>
        </w:tc>
        <w:tc>
          <w:tcPr>
            <w:tcW w:w="6239" w:type="dxa"/>
            <w:vAlign w:val="center"/>
          </w:tcPr>
          <w:p>
            <w:pPr>
              <w:spacing w:line="360" w:lineRule="auto"/>
              <w:jc w:val="center"/>
              <w:rPr>
                <w:rFonts w:ascii="宋体" w:hAnsi="宋体" w:cs="宋体"/>
                <w:szCs w:val="21"/>
              </w:rPr>
            </w:pPr>
          </w:p>
        </w:tc>
        <w:tc>
          <w:tcPr>
            <w:tcW w:w="2209" w:type="dxa"/>
            <w:vAlign w:val="center"/>
          </w:tcPr>
          <w:p>
            <w:pPr>
              <w:spacing w:line="360" w:lineRule="auto"/>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647" w:type="dxa"/>
            <w:vAlign w:val="center"/>
          </w:tcPr>
          <w:p>
            <w:pPr>
              <w:spacing w:line="360" w:lineRule="auto"/>
              <w:jc w:val="center"/>
              <w:rPr>
                <w:rFonts w:ascii="宋体" w:hAnsi="宋体" w:cs="宋体"/>
                <w:spacing w:val="-4"/>
                <w:szCs w:val="21"/>
              </w:rPr>
            </w:pPr>
          </w:p>
        </w:tc>
        <w:tc>
          <w:tcPr>
            <w:tcW w:w="6239" w:type="dxa"/>
            <w:vAlign w:val="center"/>
          </w:tcPr>
          <w:p>
            <w:pPr>
              <w:spacing w:line="360" w:lineRule="auto"/>
              <w:jc w:val="center"/>
              <w:rPr>
                <w:rFonts w:ascii="宋体" w:hAnsi="宋体" w:cs="宋体"/>
                <w:szCs w:val="21"/>
              </w:rPr>
            </w:pPr>
          </w:p>
        </w:tc>
        <w:tc>
          <w:tcPr>
            <w:tcW w:w="2209" w:type="dxa"/>
            <w:vAlign w:val="center"/>
          </w:tcPr>
          <w:p>
            <w:pPr>
              <w:spacing w:line="360" w:lineRule="auto"/>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647" w:type="dxa"/>
            <w:vAlign w:val="center"/>
          </w:tcPr>
          <w:p>
            <w:pPr>
              <w:spacing w:line="360" w:lineRule="auto"/>
              <w:jc w:val="center"/>
              <w:rPr>
                <w:rFonts w:ascii="宋体" w:hAnsi="宋体" w:cs="宋体"/>
                <w:spacing w:val="-4"/>
                <w:szCs w:val="21"/>
              </w:rPr>
            </w:pPr>
          </w:p>
        </w:tc>
        <w:tc>
          <w:tcPr>
            <w:tcW w:w="6239" w:type="dxa"/>
            <w:vAlign w:val="center"/>
          </w:tcPr>
          <w:p>
            <w:pPr>
              <w:spacing w:line="360" w:lineRule="auto"/>
              <w:jc w:val="center"/>
              <w:rPr>
                <w:rFonts w:ascii="宋体" w:hAnsi="宋体" w:cs="宋体"/>
                <w:szCs w:val="21"/>
              </w:rPr>
            </w:pPr>
          </w:p>
        </w:tc>
        <w:tc>
          <w:tcPr>
            <w:tcW w:w="2209" w:type="dxa"/>
            <w:vAlign w:val="center"/>
          </w:tcPr>
          <w:p>
            <w:pPr>
              <w:spacing w:line="360" w:lineRule="auto"/>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647" w:type="dxa"/>
            <w:vAlign w:val="center"/>
          </w:tcPr>
          <w:p>
            <w:pPr>
              <w:spacing w:line="360" w:lineRule="auto"/>
              <w:jc w:val="center"/>
              <w:rPr>
                <w:rFonts w:ascii="宋体" w:hAnsi="宋体" w:cs="宋体"/>
                <w:spacing w:val="-4"/>
                <w:szCs w:val="21"/>
              </w:rPr>
            </w:pPr>
          </w:p>
        </w:tc>
        <w:tc>
          <w:tcPr>
            <w:tcW w:w="6239" w:type="dxa"/>
            <w:vAlign w:val="center"/>
          </w:tcPr>
          <w:p>
            <w:pPr>
              <w:spacing w:line="360" w:lineRule="auto"/>
              <w:jc w:val="center"/>
              <w:rPr>
                <w:rFonts w:ascii="宋体" w:hAnsi="宋体" w:cs="宋体"/>
                <w:szCs w:val="21"/>
              </w:rPr>
            </w:pPr>
          </w:p>
        </w:tc>
        <w:tc>
          <w:tcPr>
            <w:tcW w:w="2209" w:type="dxa"/>
            <w:vAlign w:val="center"/>
          </w:tcPr>
          <w:p>
            <w:pPr>
              <w:spacing w:line="360" w:lineRule="auto"/>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647" w:type="dxa"/>
            <w:vAlign w:val="center"/>
          </w:tcPr>
          <w:p>
            <w:pPr>
              <w:spacing w:line="360" w:lineRule="auto"/>
              <w:jc w:val="center"/>
              <w:rPr>
                <w:rFonts w:ascii="宋体" w:hAnsi="宋体" w:cs="宋体"/>
                <w:spacing w:val="-4"/>
                <w:szCs w:val="21"/>
              </w:rPr>
            </w:pPr>
          </w:p>
        </w:tc>
        <w:tc>
          <w:tcPr>
            <w:tcW w:w="6239" w:type="dxa"/>
            <w:vAlign w:val="center"/>
          </w:tcPr>
          <w:p>
            <w:pPr>
              <w:spacing w:line="360" w:lineRule="auto"/>
              <w:jc w:val="center"/>
              <w:rPr>
                <w:rFonts w:ascii="宋体" w:hAnsi="宋体" w:cs="宋体"/>
                <w:szCs w:val="21"/>
              </w:rPr>
            </w:pPr>
          </w:p>
        </w:tc>
        <w:tc>
          <w:tcPr>
            <w:tcW w:w="2209" w:type="dxa"/>
            <w:vAlign w:val="center"/>
          </w:tcPr>
          <w:p>
            <w:pPr>
              <w:spacing w:line="360" w:lineRule="auto"/>
              <w:jc w:val="center"/>
              <w:rPr>
                <w:rFonts w:ascii="宋体" w:hAnsi="宋体" w:cs="宋体"/>
                <w:b/>
                <w:szCs w:val="21"/>
              </w:rPr>
            </w:pPr>
          </w:p>
        </w:tc>
      </w:tr>
    </w:tbl>
    <w:p>
      <w:pPr>
        <w:spacing w:line="360" w:lineRule="auto"/>
        <w:ind w:firstLine="422" w:firstLineChars="200"/>
        <w:rPr>
          <w:rFonts w:ascii="宋体" w:hAnsi="宋体"/>
          <w:szCs w:val="21"/>
        </w:rPr>
      </w:pPr>
      <w:r>
        <w:rPr>
          <w:rFonts w:ascii="宋体" w:hAnsi="宋体" w:cs="Arial"/>
          <w:b/>
          <w:szCs w:val="21"/>
        </w:rPr>
        <w:t>注：</w:t>
      </w:r>
      <w:r>
        <w:rPr>
          <w:rFonts w:ascii="宋体" w:hAnsi="宋体" w:cs="Arial"/>
          <w:szCs w:val="21"/>
        </w:rPr>
        <w:t>1、投标</w:t>
      </w:r>
      <w:r>
        <w:rPr>
          <w:rFonts w:hint="eastAsia" w:ascii="宋体" w:hAnsi="宋体" w:cs="Arial"/>
          <w:szCs w:val="21"/>
        </w:rPr>
        <w:t>人</w:t>
      </w:r>
      <w:r>
        <w:rPr>
          <w:rFonts w:ascii="宋体" w:hAnsi="宋体" w:cs="Arial"/>
          <w:szCs w:val="21"/>
        </w:rPr>
        <w:t>必须将自己所投</w:t>
      </w:r>
      <w:r>
        <w:rPr>
          <w:rFonts w:hint="eastAsia" w:ascii="宋体" w:hAnsi="宋体" w:cs="Arial"/>
          <w:szCs w:val="21"/>
        </w:rPr>
        <w:t>服务</w:t>
      </w:r>
      <w:r>
        <w:rPr>
          <w:rFonts w:ascii="宋体" w:hAnsi="宋体" w:cs="Arial"/>
          <w:szCs w:val="21"/>
        </w:rPr>
        <w:t>真实、准确地填入</w:t>
      </w:r>
      <w:r>
        <w:rPr>
          <w:rFonts w:hint="eastAsia" w:ascii="宋体" w:hAnsi="宋体" w:cs="Arial"/>
          <w:szCs w:val="21"/>
        </w:rPr>
        <w:t>以上表格</w:t>
      </w:r>
      <w:r>
        <w:rPr>
          <w:rFonts w:ascii="宋体" w:hAnsi="宋体" w:cs="Arial"/>
          <w:szCs w:val="21"/>
        </w:rPr>
        <w:t>中</w:t>
      </w:r>
      <w:r>
        <w:rPr>
          <w:rFonts w:hint="eastAsia" w:ascii="宋体" w:hAnsi="宋体" w:cs="Arial"/>
          <w:szCs w:val="21"/>
        </w:rPr>
        <w:t>；</w:t>
      </w:r>
      <w:r>
        <w:rPr>
          <w:rFonts w:hint="eastAsia" w:ascii="宋体" w:hAnsi="宋体"/>
          <w:szCs w:val="21"/>
        </w:rPr>
        <w:t>投标人必须依据第三章“服务需求及技术要求”填写以上表格，项目概况除外。</w:t>
      </w:r>
    </w:p>
    <w:p>
      <w:pPr>
        <w:tabs>
          <w:tab w:val="left" w:pos="1815"/>
        </w:tabs>
        <w:spacing w:line="360" w:lineRule="auto"/>
        <w:ind w:left="1" w:firstLine="417" w:firstLineChars="199"/>
        <w:rPr>
          <w:rFonts w:ascii="宋体" w:hAnsi="宋体" w:cs="Arial"/>
          <w:szCs w:val="21"/>
        </w:rPr>
      </w:pPr>
      <w:r>
        <w:rPr>
          <w:rFonts w:ascii="宋体" w:hAnsi="宋体" w:cs="Arial"/>
          <w:szCs w:val="21"/>
        </w:rPr>
        <w:t>2、投标</w:t>
      </w:r>
      <w:r>
        <w:rPr>
          <w:rFonts w:hint="eastAsia" w:ascii="宋体" w:hAnsi="宋体" w:cs="Arial"/>
          <w:szCs w:val="21"/>
        </w:rPr>
        <w:t>人</w:t>
      </w:r>
      <w:r>
        <w:rPr>
          <w:rFonts w:ascii="宋体" w:hAnsi="宋体" w:cs="Arial"/>
          <w:szCs w:val="21"/>
        </w:rPr>
        <w:t>必须根据自己所投</w:t>
      </w:r>
      <w:r>
        <w:rPr>
          <w:rFonts w:hint="eastAsia" w:ascii="宋体" w:hAnsi="宋体" w:cs="Arial"/>
          <w:szCs w:val="21"/>
        </w:rPr>
        <w:t>服务</w:t>
      </w:r>
      <w:r>
        <w:rPr>
          <w:rFonts w:ascii="宋体" w:hAnsi="宋体" w:cs="Arial"/>
          <w:szCs w:val="21"/>
        </w:rPr>
        <w:t>与“</w:t>
      </w:r>
      <w:r>
        <w:rPr>
          <w:rFonts w:hint="eastAsia" w:ascii="宋体" w:hAnsi="宋体" w:cs="宋体"/>
          <w:b/>
          <w:bCs/>
        </w:rPr>
        <w:t>服务需求及技术要求</w:t>
      </w:r>
      <w:r>
        <w:rPr>
          <w:rFonts w:ascii="宋体" w:hAnsi="宋体" w:cs="Arial"/>
          <w:szCs w:val="21"/>
        </w:rPr>
        <w:t>”的差异情况，实事求是地填写“响应情况”（优于、满足、不满足） 。</w:t>
      </w:r>
    </w:p>
    <w:p>
      <w:pPr>
        <w:tabs>
          <w:tab w:val="left" w:pos="1815"/>
        </w:tabs>
        <w:spacing w:line="360" w:lineRule="auto"/>
        <w:rPr>
          <w:rFonts w:ascii="Arial" w:hAnsi="Arial" w:eastAsia="仿宋" w:cs="Arial"/>
          <w:szCs w:val="21"/>
        </w:rPr>
      </w:pPr>
    </w:p>
    <w:p>
      <w:pPr>
        <w:tabs>
          <w:tab w:val="left" w:pos="1815"/>
        </w:tabs>
        <w:spacing w:line="360" w:lineRule="auto"/>
        <w:rPr>
          <w:rFonts w:ascii="Arial" w:hAnsi="Arial" w:eastAsia="仿宋" w:cs="Arial"/>
          <w:szCs w:val="21"/>
        </w:rPr>
      </w:pPr>
    </w:p>
    <w:p>
      <w:pPr>
        <w:tabs>
          <w:tab w:val="left" w:pos="1815"/>
        </w:tabs>
        <w:spacing w:line="360" w:lineRule="auto"/>
        <w:rPr>
          <w:rFonts w:ascii="Arial" w:hAnsi="Arial" w:eastAsia="仿宋" w:cs="Arial"/>
          <w:szCs w:val="21"/>
        </w:rPr>
      </w:pPr>
    </w:p>
    <w:p>
      <w:pPr>
        <w:spacing w:line="360" w:lineRule="auto"/>
        <w:ind w:firstLine="3561" w:firstLineChars="1696"/>
        <w:rPr>
          <w:rFonts w:ascii="宋体" w:hAnsi="宋体"/>
          <w:szCs w:val="21"/>
        </w:rPr>
      </w:pPr>
      <w:r>
        <w:rPr>
          <w:rFonts w:hint="eastAsia" w:ascii="宋体" w:hAnsi="宋体"/>
          <w:szCs w:val="21"/>
        </w:rPr>
        <w:t>投标人：</w:t>
      </w:r>
      <w:r>
        <w:rPr>
          <w:rFonts w:hint="eastAsia" w:ascii="宋体" w:hAnsi="宋体"/>
          <w:szCs w:val="21"/>
          <w:u w:val="single"/>
        </w:rPr>
        <w:t xml:space="preserve">                             </w:t>
      </w:r>
      <w:r>
        <w:rPr>
          <w:rFonts w:hint="eastAsia" w:ascii="宋体" w:hAnsi="宋体"/>
          <w:szCs w:val="21"/>
        </w:rPr>
        <w:t>（盖章）</w:t>
      </w:r>
    </w:p>
    <w:p>
      <w:pPr>
        <w:spacing w:line="360" w:lineRule="auto"/>
        <w:ind w:firstLine="3561" w:firstLineChars="1696"/>
        <w:rPr>
          <w:rFonts w:ascii="宋体" w:hAnsi="宋体"/>
          <w:szCs w:val="21"/>
        </w:rPr>
      </w:pPr>
    </w:p>
    <w:p>
      <w:pPr>
        <w:spacing w:line="360" w:lineRule="auto"/>
        <w:ind w:firstLine="3570" w:firstLineChars="1700"/>
        <w:rPr>
          <w:rFonts w:ascii="宋体" w:hAnsi="宋体"/>
          <w:szCs w:val="21"/>
        </w:rPr>
      </w:pPr>
      <w:r>
        <w:rPr>
          <w:rFonts w:hint="eastAsia" w:ascii="宋体" w:hAnsi="宋体"/>
          <w:szCs w:val="21"/>
        </w:rPr>
        <w:t>法定代表人：</w:t>
      </w:r>
      <w:r>
        <w:rPr>
          <w:rFonts w:hint="eastAsia" w:ascii="宋体" w:hAnsi="宋体"/>
          <w:szCs w:val="21"/>
          <w:u w:val="single"/>
        </w:rPr>
        <w:t xml:space="preserve">                         </w:t>
      </w:r>
      <w:r>
        <w:rPr>
          <w:rFonts w:hint="eastAsia" w:ascii="宋体" w:hAnsi="宋体"/>
          <w:szCs w:val="21"/>
        </w:rPr>
        <w:t>（盖章）</w:t>
      </w:r>
    </w:p>
    <w:p>
      <w:pPr>
        <w:spacing w:line="360" w:lineRule="auto"/>
        <w:ind w:firstLine="3570" w:firstLineChars="1700"/>
        <w:rPr>
          <w:rFonts w:ascii="宋体" w:hAnsi="宋体"/>
          <w:szCs w:val="21"/>
        </w:rPr>
      </w:pPr>
    </w:p>
    <w:p>
      <w:pPr>
        <w:spacing w:line="360" w:lineRule="auto"/>
        <w:ind w:firstLine="3570" w:firstLineChars="1700"/>
        <w:rPr>
          <w:rFonts w:ascii="宋体" w:hAnsi="宋体"/>
          <w:szCs w:val="21"/>
        </w:rPr>
      </w:pPr>
      <w:r>
        <w:rPr>
          <w:rFonts w:hint="eastAsia"/>
          <w:szCs w:val="21"/>
        </w:rPr>
        <w:t>日  期：</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p>
      <w:pPr>
        <w:spacing w:line="360" w:lineRule="auto"/>
        <w:jc w:val="center"/>
        <w:rPr>
          <w:rFonts w:ascii="宋体" w:hAnsi="宋体"/>
          <w:b/>
          <w:szCs w:val="21"/>
        </w:rPr>
      </w:pPr>
    </w:p>
    <w:p>
      <w:pPr>
        <w:spacing w:line="360" w:lineRule="auto"/>
        <w:jc w:val="center"/>
        <w:rPr>
          <w:rFonts w:ascii="宋体" w:hAnsi="宋体"/>
          <w:b/>
          <w:szCs w:val="21"/>
        </w:rPr>
      </w:pPr>
    </w:p>
    <w:p>
      <w:pPr>
        <w:spacing w:line="360" w:lineRule="auto"/>
        <w:jc w:val="center"/>
        <w:rPr>
          <w:rFonts w:ascii="宋体" w:hAnsi="宋体"/>
          <w:b/>
          <w:szCs w:val="21"/>
        </w:rPr>
      </w:pPr>
    </w:p>
    <w:p>
      <w:pPr>
        <w:spacing w:line="360" w:lineRule="auto"/>
        <w:jc w:val="center"/>
        <w:rPr>
          <w:rFonts w:ascii="宋体" w:hAnsi="宋体"/>
          <w:b/>
          <w:szCs w:val="21"/>
        </w:rPr>
      </w:pPr>
    </w:p>
    <w:p>
      <w:pPr>
        <w:pStyle w:val="6"/>
        <w:jc w:val="center"/>
        <w:rPr>
          <w:bdr w:val="single" w:color="auto" w:sz="4" w:space="0"/>
        </w:rPr>
      </w:pPr>
      <w:bookmarkStart w:id="110" w:name="_Toc481873161"/>
      <w:bookmarkStart w:id="111" w:name="_Toc2920"/>
      <w:r>
        <w:rPr>
          <w:rFonts w:hint="eastAsia"/>
        </w:rPr>
        <w:t>四、服务方案</w:t>
      </w:r>
      <w:bookmarkEnd w:id="110"/>
      <w:bookmarkEnd w:id="111"/>
    </w:p>
    <w:p>
      <w:pPr>
        <w:spacing w:line="360" w:lineRule="auto"/>
        <w:ind w:firstLine="420" w:firstLineChars="200"/>
        <w:rPr>
          <w:rFonts w:ascii="仿宋" w:hAnsi="仿宋" w:eastAsia="仿宋"/>
          <w:szCs w:val="21"/>
        </w:rPr>
      </w:pPr>
    </w:p>
    <w:p>
      <w:pPr>
        <w:spacing w:line="360" w:lineRule="auto"/>
        <w:ind w:firstLine="420" w:firstLineChars="200"/>
        <w:rPr>
          <w:rFonts w:ascii="宋体" w:hAnsi="宋体"/>
          <w:szCs w:val="21"/>
        </w:rPr>
      </w:pPr>
      <w:r>
        <w:rPr>
          <w:rFonts w:hint="eastAsia" w:ascii="宋体" w:hAnsi="宋体"/>
          <w:szCs w:val="21"/>
        </w:rPr>
        <w:t>投标人依据第三章“服务需求及技术要求”并结合评分细则的要求自行提供。</w:t>
      </w:r>
    </w:p>
    <w:p>
      <w:pPr>
        <w:spacing w:line="360" w:lineRule="auto"/>
        <w:ind w:firstLine="420" w:firstLineChars="200"/>
        <w:rPr>
          <w:rFonts w:ascii="宋体" w:hAnsi="宋体"/>
          <w:szCs w:val="21"/>
        </w:rPr>
      </w:pPr>
      <w:r>
        <w:rPr>
          <w:rFonts w:hint="eastAsia" w:ascii="宋体" w:hAnsi="宋体"/>
          <w:szCs w:val="21"/>
        </w:rPr>
        <w:t>1、服务方案</w:t>
      </w:r>
    </w:p>
    <w:p>
      <w:pPr>
        <w:spacing w:line="360" w:lineRule="auto"/>
        <w:ind w:firstLine="420" w:firstLineChars="200"/>
        <w:rPr>
          <w:rFonts w:ascii="宋体" w:hAnsi="宋体"/>
          <w:szCs w:val="21"/>
        </w:rPr>
      </w:pPr>
      <w:r>
        <w:rPr>
          <w:rFonts w:hint="eastAsia" w:ascii="宋体" w:hAnsi="宋体"/>
          <w:szCs w:val="21"/>
        </w:rPr>
        <w:t>2、人员培训方案</w:t>
      </w:r>
    </w:p>
    <w:p>
      <w:pPr>
        <w:spacing w:line="360" w:lineRule="auto"/>
        <w:ind w:firstLine="420" w:firstLineChars="200"/>
        <w:rPr>
          <w:rFonts w:ascii="宋体" w:hAnsi="宋体"/>
          <w:szCs w:val="21"/>
        </w:rPr>
      </w:pPr>
      <w:r>
        <w:rPr>
          <w:rFonts w:hint="eastAsia" w:ascii="宋体" w:hAnsi="宋体"/>
          <w:szCs w:val="21"/>
        </w:rPr>
        <w:t>3、服务保证及服务承诺</w:t>
      </w:r>
    </w:p>
    <w:p>
      <w:pPr>
        <w:spacing w:line="360" w:lineRule="auto"/>
        <w:ind w:firstLine="420" w:firstLineChars="200"/>
        <w:rPr>
          <w:rFonts w:ascii="宋体" w:hAnsi="宋体"/>
          <w:szCs w:val="21"/>
        </w:rPr>
      </w:pPr>
      <w:r>
        <w:rPr>
          <w:rFonts w:hint="eastAsia" w:ascii="宋体" w:hAnsi="宋体"/>
          <w:szCs w:val="21"/>
        </w:rPr>
        <w:t>4、投标人认为需要提供的其他资料</w:t>
      </w:r>
    </w:p>
    <w:p>
      <w:pPr>
        <w:spacing w:line="360" w:lineRule="auto"/>
        <w:ind w:firstLine="404" w:firstLineChars="200"/>
        <w:rPr>
          <w:rFonts w:ascii="宋体" w:hAnsi="宋体" w:cs="宋体"/>
          <w:spacing w:val="-4"/>
          <w:kern w:val="0"/>
          <w:szCs w:val="21"/>
        </w:rPr>
      </w:pPr>
    </w:p>
    <w:p>
      <w:pPr>
        <w:spacing w:line="360" w:lineRule="auto"/>
        <w:ind w:firstLine="420" w:firstLineChars="200"/>
        <w:rPr>
          <w:rFonts w:ascii="仿宋" w:hAnsi="仿宋" w:eastAsia="仿宋"/>
          <w:szCs w:val="21"/>
        </w:rPr>
      </w:pPr>
    </w:p>
    <w:p>
      <w:pPr>
        <w:spacing w:line="360" w:lineRule="auto"/>
        <w:ind w:firstLine="420" w:firstLineChars="200"/>
        <w:rPr>
          <w:rFonts w:ascii="仿宋" w:hAnsi="仿宋" w:eastAsia="仿宋"/>
          <w:szCs w:val="21"/>
        </w:rPr>
      </w:pPr>
    </w:p>
    <w:p>
      <w:pPr>
        <w:spacing w:line="360" w:lineRule="auto"/>
        <w:ind w:firstLine="420" w:firstLineChars="200"/>
        <w:rPr>
          <w:rFonts w:ascii="仿宋" w:hAnsi="仿宋" w:eastAsia="仿宋"/>
          <w:szCs w:val="21"/>
        </w:rPr>
      </w:pPr>
    </w:p>
    <w:p>
      <w:pPr>
        <w:spacing w:line="360" w:lineRule="auto"/>
        <w:ind w:firstLine="420" w:firstLineChars="200"/>
        <w:rPr>
          <w:rFonts w:ascii="仿宋" w:hAnsi="仿宋" w:eastAsia="仿宋"/>
          <w:szCs w:val="21"/>
        </w:rPr>
      </w:pPr>
    </w:p>
    <w:p>
      <w:pPr>
        <w:spacing w:line="360" w:lineRule="auto"/>
        <w:ind w:firstLine="420" w:firstLineChars="200"/>
        <w:rPr>
          <w:rFonts w:ascii="仿宋" w:hAnsi="仿宋" w:eastAsia="仿宋"/>
          <w:szCs w:val="21"/>
        </w:rPr>
      </w:pPr>
    </w:p>
    <w:p>
      <w:pPr>
        <w:spacing w:line="360" w:lineRule="auto"/>
        <w:ind w:firstLine="420" w:firstLineChars="200"/>
        <w:rPr>
          <w:rFonts w:ascii="仿宋" w:hAnsi="仿宋" w:eastAsia="仿宋"/>
          <w:szCs w:val="21"/>
        </w:rPr>
      </w:pPr>
    </w:p>
    <w:p>
      <w:pPr>
        <w:spacing w:line="360" w:lineRule="auto"/>
        <w:ind w:firstLine="420" w:firstLineChars="200"/>
        <w:rPr>
          <w:rFonts w:ascii="仿宋" w:hAnsi="仿宋" w:eastAsia="仿宋"/>
          <w:szCs w:val="21"/>
        </w:rPr>
      </w:pPr>
    </w:p>
    <w:p>
      <w:pPr>
        <w:spacing w:line="360" w:lineRule="auto"/>
        <w:ind w:firstLine="420" w:firstLineChars="200"/>
        <w:rPr>
          <w:rFonts w:ascii="仿宋" w:hAnsi="仿宋" w:eastAsia="仿宋"/>
          <w:szCs w:val="21"/>
        </w:rPr>
      </w:pPr>
    </w:p>
    <w:p>
      <w:pPr>
        <w:spacing w:line="360" w:lineRule="auto"/>
        <w:ind w:firstLine="420" w:firstLineChars="200"/>
        <w:rPr>
          <w:rFonts w:ascii="仿宋" w:hAnsi="仿宋" w:eastAsia="仿宋"/>
          <w:szCs w:val="21"/>
        </w:rPr>
      </w:pPr>
    </w:p>
    <w:p>
      <w:pPr>
        <w:spacing w:line="360" w:lineRule="auto"/>
        <w:ind w:firstLine="420" w:firstLineChars="200"/>
        <w:rPr>
          <w:rFonts w:ascii="仿宋" w:hAnsi="仿宋" w:eastAsia="仿宋"/>
          <w:szCs w:val="21"/>
        </w:rPr>
      </w:pPr>
    </w:p>
    <w:p>
      <w:pPr>
        <w:spacing w:line="360" w:lineRule="auto"/>
        <w:ind w:firstLine="420" w:firstLineChars="200"/>
        <w:rPr>
          <w:rFonts w:ascii="仿宋" w:hAnsi="仿宋" w:eastAsia="仿宋"/>
          <w:szCs w:val="21"/>
        </w:rPr>
      </w:pPr>
    </w:p>
    <w:p>
      <w:pPr>
        <w:spacing w:line="360" w:lineRule="auto"/>
        <w:ind w:firstLine="420" w:firstLineChars="200"/>
        <w:rPr>
          <w:rFonts w:ascii="仿宋" w:hAnsi="仿宋" w:eastAsia="仿宋"/>
          <w:szCs w:val="21"/>
        </w:rPr>
      </w:pPr>
    </w:p>
    <w:p>
      <w:pPr>
        <w:spacing w:line="360" w:lineRule="auto"/>
        <w:ind w:firstLine="420" w:firstLineChars="200"/>
        <w:rPr>
          <w:rFonts w:ascii="仿宋" w:hAnsi="仿宋" w:eastAsia="仿宋"/>
          <w:szCs w:val="21"/>
        </w:rPr>
      </w:pPr>
    </w:p>
    <w:p>
      <w:pPr>
        <w:spacing w:line="360" w:lineRule="auto"/>
        <w:ind w:firstLine="420" w:firstLineChars="200"/>
        <w:rPr>
          <w:rFonts w:ascii="仿宋" w:hAnsi="仿宋" w:eastAsia="仿宋"/>
          <w:szCs w:val="21"/>
        </w:rPr>
      </w:pPr>
    </w:p>
    <w:p>
      <w:pPr>
        <w:spacing w:line="360" w:lineRule="auto"/>
        <w:ind w:firstLine="420" w:firstLineChars="200"/>
        <w:rPr>
          <w:rFonts w:ascii="仿宋" w:hAnsi="仿宋" w:eastAsia="仿宋"/>
          <w:szCs w:val="21"/>
        </w:rPr>
      </w:pPr>
    </w:p>
    <w:p>
      <w:pPr>
        <w:spacing w:line="360" w:lineRule="auto"/>
        <w:ind w:firstLine="420" w:firstLineChars="200"/>
        <w:rPr>
          <w:rFonts w:ascii="仿宋" w:hAnsi="仿宋" w:eastAsia="仿宋"/>
          <w:szCs w:val="21"/>
        </w:rPr>
      </w:pPr>
    </w:p>
    <w:p>
      <w:pPr>
        <w:pStyle w:val="2"/>
        <w:rPr>
          <w:rFonts w:ascii="仿宋" w:hAnsi="仿宋" w:eastAsia="仿宋"/>
        </w:rPr>
      </w:pPr>
    </w:p>
    <w:p>
      <w:pPr>
        <w:pStyle w:val="2"/>
        <w:rPr>
          <w:rFonts w:ascii="仿宋" w:hAnsi="仿宋" w:eastAsia="仿宋"/>
        </w:rPr>
      </w:pPr>
    </w:p>
    <w:p>
      <w:pPr>
        <w:pStyle w:val="2"/>
        <w:rPr>
          <w:rFonts w:ascii="仿宋" w:hAnsi="仿宋" w:eastAsia="仿宋"/>
        </w:rPr>
      </w:pPr>
    </w:p>
    <w:p>
      <w:pPr>
        <w:pStyle w:val="2"/>
        <w:rPr>
          <w:rFonts w:ascii="仿宋" w:hAnsi="仿宋" w:eastAsia="仿宋"/>
        </w:rPr>
      </w:pPr>
    </w:p>
    <w:p>
      <w:pPr>
        <w:spacing w:line="360" w:lineRule="auto"/>
        <w:rPr>
          <w:rFonts w:ascii="仿宋" w:hAnsi="仿宋" w:eastAsia="仿宋"/>
          <w:szCs w:val="21"/>
        </w:rPr>
      </w:pPr>
    </w:p>
    <w:p>
      <w:pPr>
        <w:pStyle w:val="6"/>
        <w:jc w:val="center"/>
      </w:pPr>
      <w:bookmarkStart w:id="112" w:name="_Toc481873162"/>
      <w:bookmarkStart w:id="113" w:name="_Toc25547"/>
      <w:r>
        <w:rPr>
          <w:rFonts w:hint="eastAsia"/>
        </w:rPr>
        <w:t>五、诚信投标承诺书</w:t>
      </w:r>
      <w:bookmarkEnd w:id="112"/>
      <w:bookmarkEnd w:id="113"/>
    </w:p>
    <w:p>
      <w:pPr>
        <w:rPr>
          <w:rFonts w:ascii="仿宋" w:hAnsi="仿宋" w:eastAsia="仿宋" w:cs="仿宋"/>
          <w:b/>
          <w:bCs/>
          <w:sz w:val="24"/>
        </w:rPr>
      </w:pP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本人以企业法定代表人的身份郑重承诺：</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一、将遵循公开、公正和诚实信用的原则自愿参加</w:t>
      </w:r>
      <w:r>
        <w:rPr>
          <w:rFonts w:hint="eastAsia" w:ascii="仿宋" w:hAnsi="仿宋" w:eastAsia="仿宋" w:cs="仿宋"/>
          <w:b/>
          <w:bCs/>
          <w:sz w:val="24"/>
          <w:u w:val="single"/>
        </w:rPr>
        <w:t xml:space="preserve">                </w:t>
      </w:r>
      <w:r>
        <w:rPr>
          <w:rFonts w:hint="eastAsia" w:ascii="仿宋" w:hAnsi="仿宋" w:eastAsia="仿宋" w:cs="仿宋"/>
          <w:b/>
          <w:bCs/>
          <w:sz w:val="24"/>
        </w:rPr>
        <w:t>项目的投标；</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 xml:space="preserve">二、所提供的一切材料都是真实、有效、合法的；  </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 xml:space="preserve">三、不出借、转让资质证书，不让他人挂靠投标，不以他人名义投标或者以其他方式弄虚作假，骗取中标；  </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 xml:space="preserve">四、不与其他供应商相互串通投标报价，不排挤其他供应商的公平竞争、损害采购人的合法权益；  </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 xml:space="preserve">五、不与采购单位或其他供应商串通投标，损害国家利益、社会公共利益或者他人的合法权益；  </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六、保证中标后不转包，若有合法分包征得采购人同意；</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七、保证中标之后，按照投标文件承诺提供货物、服务及派驻人员；</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八、保证企业及所属相关人员在本次投标中无行贿等犯罪行为；</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九、我单位在安徽省公共资源交易市场主体库中录入的信息真实，无编造虚假信息。一旦发现弄虚作假将按《诚信投标承诺书》和有关法律法规中的规定接受处理。</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 xml:space="preserve">十、如在投标过程和评标结果公告质疑期内发生投诉行为，保证按照《安庆市公共资源交易投诉处理暂行办法》要求进行。投诉内容符合要求，投诉材料加盖企业公章或由法定代表人授权委托人签字，并附有关身份证明。不恶意投诉，对本公司提供的投诉线索的真实性负责。 </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十一、我方保证对本次招标活动有任何疑问或投诉，都依法在规定的时间内提出。否则，不针对本次招标活动提出任何质疑或投诉。</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 xml:space="preserve">以上内容我已仔细阅读，本公司若有违反承诺内容的行为，自愿承担招标文件确定的责任和法律责任并接受采购人和相关行政部门给予的处理和处罚。给采购人造成损失的，依法承担赔偿责任。  </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 xml:space="preserve">                                          投标单位（盖章）：</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 xml:space="preserve">                                          法定代表人（盖章）：</w:t>
      </w:r>
    </w:p>
    <w:p>
      <w:pPr>
        <w:spacing w:line="360" w:lineRule="auto"/>
        <w:ind w:right="480"/>
        <w:jc w:val="right"/>
        <w:rPr>
          <w:rFonts w:ascii="仿宋" w:hAnsi="仿宋" w:eastAsia="仿宋" w:cs="仿宋"/>
          <w:b/>
          <w:bCs/>
          <w:sz w:val="24"/>
        </w:rPr>
      </w:pPr>
      <w:r>
        <w:rPr>
          <w:rFonts w:hint="eastAsia" w:ascii="仿宋" w:hAnsi="仿宋" w:eastAsia="仿宋" w:cs="仿宋"/>
          <w:b/>
          <w:bCs/>
          <w:sz w:val="24"/>
        </w:rPr>
        <w:t>日期：_____年____月____日</w:t>
      </w:r>
    </w:p>
    <w:p>
      <w:pPr>
        <w:spacing w:line="360" w:lineRule="auto"/>
        <w:ind w:right="480"/>
        <w:jc w:val="right"/>
        <w:rPr>
          <w:rFonts w:ascii="仿宋" w:hAnsi="仿宋" w:eastAsia="仿宋" w:cs="仿宋"/>
          <w:b/>
          <w:bCs/>
          <w:sz w:val="24"/>
        </w:rPr>
      </w:pPr>
    </w:p>
    <w:p>
      <w:pPr>
        <w:spacing w:line="360" w:lineRule="auto"/>
        <w:ind w:right="480"/>
        <w:jc w:val="right"/>
        <w:rPr>
          <w:rFonts w:ascii="仿宋" w:hAnsi="仿宋" w:eastAsia="仿宋" w:cs="仿宋"/>
          <w:b/>
          <w:bCs/>
          <w:sz w:val="24"/>
        </w:rPr>
      </w:pPr>
    </w:p>
    <w:p>
      <w:pPr>
        <w:spacing w:line="360" w:lineRule="auto"/>
        <w:ind w:right="480"/>
        <w:jc w:val="right"/>
        <w:rPr>
          <w:rFonts w:ascii="仿宋" w:hAnsi="仿宋" w:eastAsia="仿宋" w:cs="仿宋"/>
          <w:b/>
          <w:bCs/>
          <w:sz w:val="24"/>
        </w:rPr>
      </w:pPr>
    </w:p>
    <w:p>
      <w:pPr>
        <w:spacing w:line="360" w:lineRule="auto"/>
        <w:ind w:right="480"/>
        <w:rPr>
          <w:rFonts w:ascii="仿宋" w:hAnsi="仿宋" w:eastAsia="仿宋" w:cs="仿宋"/>
          <w:b/>
          <w:bCs/>
          <w:sz w:val="24"/>
        </w:rPr>
      </w:pPr>
    </w:p>
    <w:p>
      <w:pPr>
        <w:pStyle w:val="6"/>
        <w:jc w:val="center"/>
        <w:rPr>
          <w:bdr w:val="single" w:color="auto" w:sz="4" w:space="0"/>
        </w:rPr>
      </w:pPr>
      <w:bookmarkStart w:id="114" w:name="_Toc481873163"/>
      <w:bookmarkStart w:id="115" w:name="_Toc22272"/>
      <w:r>
        <w:rPr>
          <w:rFonts w:hint="eastAsia"/>
        </w:rPr>
        <w:t>六、资格证明文件</w:t>
      </w:r>
      <w:bookmarkEnd w:id="114"/>
      <w:bookmarkEnd w:id="115"/>
    </w:p>
    <w:p>
      <w:pPr>
        <w:spacing w:line="360" w:lineRule="auto"/>
        <w:ind w:firstLine="420" w:firstLineChars="200"/>
        <w:rPr>
          <w:rFonts w:ascii="宋体" w:hAnsi="宋体"/>
          <w:szCs w:val="21"/>
        </w:rPr>
      </w:pPr>
      <w:r>
        <w:rPr>
          <w:rFonts w:hint="eastAsia" w:ascii="宋体" w:hAnsi="宋体"/>
          <w:szCs w:val="21"/>
        </w:rPr>
        <w:t>1、营业执照</w:t>
      </w:r>
      <w:r>
        <w:rPr>
          <w:rFonts w:hint="eastAsia" w:ascii="宋体" w:hAnsi="宋体"/>
          <w:szCs w:val="21"/>
          <w:lang w:val="en-US" w:eastAsia="zh-CN"/>
        </w:rPr>
        <w:t>和</w:t>
      </w:r>
      <w:r>
        <w:rPr>
          <w:rFonts w:hint="eastAsia" w:ascii="宋体" w:hAnsi="宋体"/>
          <w:szCs w:val="21"/>
        </w:rPr>
        <w:t>税务登记证（如为三证合一的，只需提供三证合一的营业执照）</w:t>
      </w:r>
    </w:p>
    <w:p>
      <w:pPr>
        <w:spacing w:line="360" w:lineRule="auto"/>
        <w:rPr>
          <w:rFonts w:ascii="宋体" w:hAnsi="宋体"/>
          <w:szCs w:val="21"/>
        </w:rPr>
      </w:pPr>
      <w:r>
        <w:rPr>
          <w:rFonts w:hint="eastAsia" w:ascii="宋体" w:hAnsi="宋体"/>
          <w:szCs w:val="21"/>
        </w:rPr>
        <w:t xml:space="preserve">    </w:t>
      </w:r>
      <w:r>
        <w:rPr>
          <w:rFonts w:hint="eastAsia" w:ascii="宋体" w:hAnsi="宋体"/>
          <w:szCs w:val="21"/>
          <w:lang w:val="en-US" w:eastAsia="zh-CN"/>
        </w:rPr>
        <w:t>2</w:t>
      </w:r>
      <w:r>
        <w:rPr>
          <w:rFonts w:hint="eastAsia" w:ascii="宋体" w:hAnsi="宋体"/>
          <w:szCs w:val="21"/>
        </w:rPr>
        <w:t>、法定代表人身份证明书（格式见附件）及其有效二代居民身份证；</w:t>
      </w:r>
    </w:p>
    <w:p>
      <w:pPr>
        <w:spacing w:line="360" w:lineRule="auto"/>
        <w:ind w:firstLine="420" w:firstLineChars="200"/>
        <w:rPr>
          <w:rFonts w:ascii="宋体" w:hAnsi="宋体"/>
          <w:szCs w:val="21"/>
        </w:rPr>
      </w:pPr>
      <w:r>
        <w:rPr>
          <w:rFonts w:hint="eastAsia" w:ascii="宋体" w:hAnsi="宋体"/>
          <w:szCs w:val="21"/>
          <w:lang w:val="en-US" w:eastAsia="zh-CN"/>
        </w:rPr>
        <w:t>3</w:t>
      </w:r>
      <w:r>
        <w:rPr>
          <w:rFonts w:hint="eastAsia" w:ascii="宋体" w:hAnsi="宋体"/>
          <w:szCs w:val="21"/>
        </w:rPr>
        <w:t>、法定代表人授权委托书（格式见附件）及其委托代理人有效二代居民身份证，若法定代表人开标现场参与投标则不需此件；</w:t>
      </w:r>
    </w:p>
    <w:p>
      <w:pPr>
        <w:spacing w:line="360" w:lineRule="auto"/>
        <w:ind w:firstLine="420" w:firstLineChars="200"/>
        <w:rPr>
          <w:rFonts w:ascii="宋体" w:hAnsi="宋体"/>
          <w:szCs w:val="21"/>
        </w:rPr>
      </w:pPr>
      <w:r>
        <w:rPr>
          <w:rFonts w:hint="eastAsia" w:ascii="宋体" w:hAnsi="宋体"/>
          <w:szCs w:val="21"/>
          <w:lang w:val="en-US" w:eastAsia="zh-CN"/>
        </w:rPr>
        <w:t>4</w:t>
      </w:r>
      <w:r>
        <w:rPr>
          <w:rFonts w:hint="eastAsia" w:ascii="宋体" w:hAnsi="宋体"/>
          <w:szCs w:val="21"/>
        </w:rPr>
        <w:t>、履行合同所必需的设备专业技术能力证明文件；</w:t>
      </w:r>
    </w:p>
    <w:p>
      <w:pPr>
        <w:spacing w:line="360" w:lineRule="auto"/>
        <w:ind w:firstLine="315" w:firstLineChars="150"/>
        <w:rPr>
          <w:rFonts w:ascii="宋体" w:hAnsi="宋体"/>
          <w:szCs w:val="21"/>
        </w:rPr>
      </w:pPr>
      <w:r>
        <w:rPr>
          <w:rFonts w:hint="eastAsia" w:ascii="宋体" w:hAnsi="宋体"/>
          <w:szCs w:val="21"/>
        </w:rPr>
        <w:t>（1）服务于本项目的专业设备一览表</w:t>
      </w:r>
    </w:p>
    <w:tbl>
      <w:tblPr>
        <w:tblStyle w:val="28"/>
        <w:tblW w:w="94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2292"/>
        <w:gridCol w:w="1453"/>
        <w:gridCol w:w="934"/>
        <w:gridCol w:w="878"/>
        <w:gridCol w:w="1495"/>
        <w:gridCol w:w="1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880" w:type="dxa"/>
            <w:vAlign w:val="center"/>
          </w:tcPr>
          <w:p>
            <w:pPr>
              <w:spacing w:line="360" w:lineRule="auto"/>
              <w:jc w:val="center"/>
              <w:rPr>
                <w:rFonts w:ascii="宋体" w:hAnsi="宋体"/>
                <w:szCs w:val="21"/>
              </w:rPr>
            </w:pPr>
            <w:r>
              <w:rPr>
                <w:rFonts w:hint="eastAsia" w:ascii="宋体" w:hAnsi="宋体"/>
                <w:szCs w:val="21"/>
              </w:rPr>
              <w:t>序号</w:t>
            </w:r>
          </w:p>
        </w:tc>
        <w:tc>
          <w:tcPr>
            <w:tcW w:w="2292" w:type="dxa"/>
            <w:vAlign w:val="center"/>
          </w:tcPr>
          <w:p>
            <w:pPr>
              <w:spacing w:line="360" w:lineRule="auto"/>
              <w:jc w:val="center"/>
              <w:rPr>
                <w:rFonts w:ascii="宋体" w:hAnsi="宋体"/>
                <w:szCs w:val="21"/>
              </w:rPr>
            </w:pPr>
            <w:r>
              <w:rPr>
                <w:rFonts w:hint="eastAsia" w:ascii="宋体" w:hAnsi="宋体"/>
                <w:szCs w:val="21"/>
              </w:rPr>
              <w:t>设备名称</w:t>
            </w:r>
          </w:p>
        </w:tc>
        <w:tc>
          <w:tcPr>
            <w:tcW w:w="1453" w:type="dxa"/>
            <w:vAlign w:val="center"/>
          </w:tcPr>
          <w:p>
            <w:pPr>
              <w:spacing w:line="360" w:lineRule="auto"/>
              <w:jc w:val="center"/>
              <w:rPr>
                <w:rFonts w:ascii="宋体" w:hAnsi="宋体"/>
                <w:szCs w:val="21"/>
              </w:rPr>
            </w:pPr>
            <w:r>
              <w:rPr>
                <w:rFonts w:hint="eastAsia" w:ascii="宋体" w:hAnsi="宋体"/>
                <w:szCs w:val="21"/>
              </w:rPr>
              <w:t>购入时间</w:t>
            </w:r>
          </w:p>
        </w:tc>
        <w:tc>
          <w:tcPr>
            <w:tcW w:w="934" w:type="dxa"/>
            <w:vAlign w:val="center"/>
          </w:tcPr>
          <w:p>
            <w:pPr>
              <w:spacing w:line="360" w:lineRule="auto"/>
              <w:jc w:val="center"/>
              <w:rPr>
                <w:rFonts w:ascii="宋体" w:hAnsi="宋体"/>
                <w:szCs w:val="21"/>
              </w:rPr>
            </w:pPr>
            <w:r>
              <w:rPr>
                <w:rFonts w:hint="eastAsia" w:ascii="宋体" w:hAnsi="宋体"/>
                <w:szCs w:val="21"/>
              </w:rPr>
              <w:t>价值</w:t>
            </w:r>
          </w:p>
        </w:tc>
        <w:tc>
          <w:tcPr>
            <w:tcW w:w="878" w:type="dxa"/>
            <w:vAlign w:val="center"/>
          </w:tcPr>
          <w:p>
            <w:pPr>
              <w:spacing w:line="360" w:lineRule="auto"/>
              <w:jc w:val="center"/>
              <w:rPr>
                <w:rFonts w:ascii="宋体" w:hAnsi="宋体"/>
                <w:szCs w:val="21"/>
              </w:rPr>
            </w:pPr>
            <w:r>
              <w:rPr>
                <w:rFonts w:hint="eastAsia" w:ascii="宋体" w:hAnsi="宋体"/>
                <w:szCs w:val="21"/>
              </w:rPr>
              <w:t>数量</w:t>
            </w:r>
          </w:p>
        </w:tc>
        <w:tc>
          <w:tcPr>
            <w:tcW w:w="1495" w:type="dxa"/>
            <w:vAlign w:val="center"/>
          </w:tcPr>
          <w:p>
            <w:pPr>
              <w:spacing w:line="360" w:lineRule="auto"/>
              <w:jc w:val="center"/>
              <w:rPr>
                <w:rFonts w:ascii="宋体" w:hAnsi="宋体"/>
                <w:szCs w:val="21"/>
              </w:rPr>
            </w:pPr>
            <w:r>
              <w:rPr>
                <w:rFonts w:hint="eastAsia" w:ascii="宋体" w:hAnsi="宋体"/>
                <w:szCs w:val="21"/>
              </w:rPr>
              <w:t>生产厂家</w:t>
            </w:r>
          </w:p>
        </w:tc>
        <w:tc>
          <w:tcPr>
            <w:tcW w:w="1504" w:type="dxa"/>
            <w:vAlign w:val="center"/>
          </w:tcPr>
          <w:p>
            <w:pPr>
              <w:spacing w:line="360" w:lineRule="auto"/>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880" w:type="dxa"/>
            <w:vAlign w:val="center"/>
          </w:tcPr>
          <w:p>
            <w:pPr>
              <w:spacing w:line="360" w:lineRule="auto"/>
              <w:ind w:firstLine="420" w:firstLineChars="200"/>
              <w:rPr>
                <w:rFonts w:ascii="宋体" w:hAnsi="宋体"/>
                <w:szCs w:val="21"/>
              </w:rPr>
            </w:pPr>
          </w:p>
        </w:tc>
        <w:tc>
          <w:tcPr>
            <w:tcW w:w="2292" w:type="dxa"/>
            <w:vAlign w:val="center"/>
          </w:tcPr>
          <w:p>
            <w:pPr>
              <w:spacing w:line="360" w:lineRule="auto"/>
              <w:ind w:firstLine="420" w:firstLineChars="200"/>
              <w:rPr>
                <w:rFonts w:ascii="宋体" w:hAnsi="宋体"/>
                <w:szCs w:val="21"/>
              </w:rPr>
            </w:pPr>
          </w:p>
        </w:tc>
        <w:tc>
          <w:tcPr>
            <w:tcW w:w="1453" w:type="dxa"/>
            <w:vAlign w:val="center"/>
          </w:tcPr>
          <w:p>
            <w:pPr>
              <w:spacing w:line="360" w:lineRule="auto"/>
              <w:ind w:firstLine="420" w:firstLineChars="200"/>
              <w:rPr>
                <w:rFonts w:ascii="宋体" w:hAnsi="宋体"/>
                <w:szCs w:val="21"/>
              </w:rPr>
            </w:pPr>
          </w:p>
        </w:tc>
        <w:tc>
          <w:tcPr>
            <w:tcW w:w="934" w:type="dxa"/>
            <w:vAlign w:val="center"/>
          </w:tcPr>
          <w:p>
            <w:pPr>
              <w:spacing w:line="360" w:lineRule="auto"/>
              <w:ind w:firstLine="420" w:firstLineChars="200"/>
              <w:rPr>
                <w:rFonts w:ascii="宋体" w:hAnsi="宋体"/>
                <w:szCs w:val="21"/>
              </w:rPr>
            </w:pPr>
          </w:p>
        </w:tc>
        <w:tc>
          <w:tcPr>
            <w:tcW w:w="878" w:type="dxa"/>
            <w:vAlign w:val="center"/>
          </w:tcPr>
          <w:p>
            <w:pPr>
              <w:spacing w:line="360" w:lineRule="auto"/>
              <w:ind w:firstLine="420" w:firstLineChars="200"/>
              <w:rPr>
                <w:rFonts w:ascii="宋体" w:hAnsi="宋体"/>
                <w:szCs w:val="21"/>
              </w:rPr>
            </w:pPr>
          </w:p>
        </w:tc>
        <w:tc>
          <w:tcPr>
            <w:tcW w:w="1495" w:type="dxa"/>
            <w:vAlign w:val="center"/>
          </w:tcPr>
          <w:p>
            <w:pPr>
              <w:spacing w:line="360" w:lineRule="auto"/>
              <w:ind w:firstLine="420" w:firstLineChars="200"/>
              <w:rPr>
                <w:rFonts w:ascii="宋体" w:hAnsi="宋体"/>
                <w:szCs w:val="21"/>
              </w:rPr>
            </w:pPr>
          </w:p>
        </w:tc>
        <w:tc>
          <w:tcPr>
            <w:tcW w:w="1504" w:type="dxa"/>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880" w:type="dxa"/>
            <w:vAlign w:val="center"/>
          </w:tcPr>
          <w:p>
            <w:pPr>
              <w:spacing w:line="360" w:lineRule="auto"/>
              <w:ind w:firstLine="420" w:firstLineChars="200"/>
              <w:rPr>
                <w:rFonts w:ascii="宋体" w:hAnsi="宋体"/>
                <w:szCs w:val="21"/>
              </w:rPr>
            </w:pPr>
          </w:p>
        </w:tc>
        <w:tc>
          <w:tcPr>
            <w:tcW w:w="2292" w:type="dxa"/>
            <w:vAlign w:val="center"/>
          </w:tcPr>
          <w:p>
            <w:pPr>
              <w:spacing w:line="360" w:lineRule="auto"/>
              <w:ind w:firstLine="420" w:firstLineChars="200"/>
              <w:rPr>
                <w:rFonts w:ascii="宋体" w:hAnsi="宋体"/>
                <w:szCs w:val="21"/>
              </w:rPr>
            </w:pPr>
          </w:p>
        </w:tc>
        <w:tc>
          <w:tcPr>
            <w:tcW w:w="1453" w:type="dxa"/>
            <w:vAlign w:val="center"/>
          </w:tcPr>
          <w:p>
            <w:pPr>
              <w:spacing w:line="360" w:lineRule="auto"/>
              <w:ind w:firstLine="420" w:firstLineChars="200"/>
              <w:rPr>
                <w:rFonts w:ascii="宋体" w:hAnsi="宋体"/>
                <w:szCs w:val="21"/>
              </w:rPr>
            </w:pPr>
          </w:p>
        </w:tc>
        <w:tc>
          <w:tcPr>
            <w:tcW w:w="934" w:type="dxa"/>
            <w:vAlign w:val="center"/>
          </w:tcPr>
          <w:p>
            <w:pPr>
              <w:spacing w:line="360" w:lineRule="auto"/>
              <w:ind w:firstLine="420" w:firstLineChars="200"/>
              <w:rPr>
                <w:rFonts w:ascii="宋体" w:hAnsi="宋体"/>
                <w:szCs w:val="21"/>
              </w:rPr>
            </w:pPr>
          </w:p>
        </w:tc>
        <w:tc>
          <w:tcPr>
            <w:tcW w:w="878" w:type="dxa"/>
            <w:vAlign w:val="center"/>
          </w:tcPr>
          <w:p>
            <w:pPr>
              <w:spacing w:line="360" w:lineRule="auto"/>
              <w:ind w:firstLine="420" w:firstLineChars="200"/>
              <w:rPr>
                <w:rFonts w:ascii="宋体" w:hAnsi="宋体"/>
                <w:szCs w:val="21"/>
              </w:rPr>
            </w:pPr>
          </w:p>
        </w:tc>
        <w:tc>
          <w:tcPr>
            <w:tcW w:w="1495" w:type="dxa"/>
            <w:vAlign w:val="center"/>
          </w:tcPr>
          <w:p>
            <w:pPr>
              <w:spacing w:line="360" w:lineRule="auto"/>
              <w:ind w:firstLine="420" w:firstLineChars="200"/>
              <w:rPr>
                <w:rFonts w:ascii="宋体" w:hAnsi="宋体"/>
                <w:szCs w:val="21"/>
              </w:rPr>
            </w:pPr>
          </w:p>
        </w:tc>
        <w:tc>
          <w:tcPr>
            <w:tcW w:w="1504" w:type="dxa"/>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880" w:type="dxa"/>
            <w:vAlign w:val="center"/>
          </w:tcPr>
          <w:p>
            <w:pPr>
              <w:spacing w:line="360" w:lineRule="auto"/>
              <w:ind w:firstLine="420" w:firstLineChars="200"/>
              <w:rPr>
                <w:rFonts w:ascii="宋体" w:hAnsi="宋体"/>
                <w:szCs w:val="21"/>
              </w:rPr>
            </w:pPr>
          </w:p>
        </w:tc>
        <w:tc>
          <w:tcPr>
            <w:tcW w:w="2292" w:type="dxa"/>
            <w:vAlign w:val="center"/>
          </w:tcPr>
          <w:p>
            <w:pPr>
              <w:spacing w:line="360" w:lineRule="auto"/>
              <w:rPr>
                <w:rFonts w:ascii="宋体" w:hAnsi="宋体"/>
                <w:szCs w:val="21"/>
              </w:rPr>
            </w:pPr>
            <w:r>
              <w:rPr>
                <w:rFonts w:hint="eastAsia" w:ascii="宋体" w:hAnsi="宋体"/>
                <w:szCs w:val="21"/>
              </w:rPr>
              <w:t xml:space="preserve">    </w:t>
            </w:r>
          </w:p>
        </w:tc>
        <w:tc>
          <w:tcPr>
            <w:tcW w:w="1453" w:type="dxa"/>
            <w:vAlign w:val="center"/>
          </w:tcPr>
          <w:p>
            <w:pPr>
              <w:spacing w:line="360" w:lineRule="auto"/>
              <w:ind w:firstLine="420" w:firstLineChars="200"/>
              <w:rPr>
                <w:rFonts w:ascii="宋体" w:hAnsi="宋体"/>
                <w:szCs w:val="21"/>
              </w:rPr>
            </w:pPr>
          </w:p>
        </w:tc>
        <w:tc>
          <w:tcPr>
            <w:tcW w:w="934" w:type="dxa"/>
            <w:vAlign w:val="center"/>
          </w:tcPr>
          <w:p>
            <w:pPr>
              <w:spacing w:line="360" w:lineRule="auto"/>
              <w:ind w:firstLine="420" w:firstLineChars="200"/>
              <w:rPr>
                <w:rFonts w:ascii="宋体" w:hAnsi="宋体"/>
                <w:szCs w:val="21"/>
              </w:rPr>
            </w:pPr>
          </w:p>
        </w:tc>
        <w:tc>
          <w:tcPr>
            <w:tcW w:w="878" w:type="dxa"/>
            <w:vAlign w:val="center"/>
          </w:tcPr>
          <w:p>
            <w:pPr>
              <w:spacing w:line="360" w:lineRule="auto"/>
              <w:ind w:firstLine="420" w:firstLineChars="200"/>
              <w:rPr>
                <w:rFonts w:ascii="宋体" w:hAnsi="宋体"/>
                <w:szCs w:val="21"/>
              </w:rPr>
            </w:pPr>
          </w:p>
        </w:tc>
        <w:tc>
          <w:tcPr>
            <w:tcW w:w="1495" w:type="dxa"/>
            <w:vAlign w:val="center"/>
          </w:tcPr>
          <w:p>
            <w:pPr>
              <w:spacing w:line="360" w:lineRule="auto"/>
              <w:ind w:firstLine="420" w:firstLineChars="200"/>
              <w:rPr>
                <w:rFonts w:ascii="宋体" w:hAnsi="宋体"/>
                <w:szCs w:val="21"/>
              </w:rPr>
            </w:pPr>
          </w:p>
        </w:tc>
        <w:tc>
          <w:tcPr>
            <w:tcW w:w="1504" w:type="dxa"/>
            <w:vAlign w:val="center"/>
          </w:tcPr>
          <w:p>
            <w:pPr>
              <w:spacing w:line="360" w:lineRule="auto"/>
              <w:ind w:firstLine="420" w:firstLineChars="200"/>
              <w:rPr>
                <w:rFonts w:ascii="宋体" w:hAnsi="宋体"/>
                <w:szCs w:val="21"/>
              </w:rPr>
            </w:pPr>
          </w:p>
        </w:tc>
      </w:tr>
    </w:tbl>
    <w:p>
      <w:pPr>
        <w:spacing w:line="360" w:lineRule="auto"/>
        <w:ind w:firstLine="315" w:firstLineChars="150"/>
        <w:rPr>
          <w:rFonts w:ascii="宋体" w:hAnsi="宋体"/>
          <w:szCs w:val="21"/>
        </w:rPr>
      </w:pPr>
      <w:r>
        <w:rPr>
          <w:rFonts w:hint="eastAsia" w:ascii="宋体" w:hAnsi="宋体"/>
          <w:szCs w:val="21"/>
        </w:rPr>
        <w:t>（2）服务本项目人员一览表</w:t>
      </w:r>
    </w:p>
    <w:tbl>
      <w:tblPr>
        <w:tblStyle w:val="28"/>
        <w:tblW w:w="94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
        <w:gridCol w:w="1187"/>
        <w:gridCol w:w="1185"/>
        <w:gridCol w:w="1185"/>
        <w:gridCol w:w="1974"/>
        <w:gridCol w:w="987"/>
        <w:gridCol w:w="1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910" w:type="dxa"/>
            <w:vMerge w:val="restart"/>
            <w:vAlign w:val="center"/>
          </w:tcPr>
          <w:p>
            <w:pPr>
              <w:spacing w:before="100" w:beforeAutospacing="1" w:after="100" w:afterAutospacing="1" w:line="360" w:lineRule="auto"/>
              <w:jc w:val="center"/>
              <w:rPr>
                <w:rFonts w:ascii="宋体" w:hAnsi="宋体"/>
                <w:szCs w:val="21"/>
              </w:rPr>
            </w:pPr>
            <w:r>
              <w:rPr>
                <w:rFonts w:hint="eastAsia" w:ascii="宋体" w:hAnsi="宋体"/>
                <w:szCs w:val="21"/>
              </w:rPr>
              <w:t>类别</w:t>
            </w:r>
          </w:p>
        </w:tc>
        <w:tc>
          <w:tcPr>
            <w:tcW w:w="1187" w:type="dxa"/>
            <w:vMerge w:val="restart"/>
            <w:vAlign w:val="center"/>
          </w:tcPr>
          <w:p>
            <w:pPr>
              <w:spacing w:before="100" w:beforeAutospacing="1" w:after="100" w:afterAutospacing="1" w:line="360" w:lineRule="auto"/>
              <w:jc w:val="center"/>
              <w:rPr>
                <w:rFonts w:ascii="宋体" w:hAnsi="宋体"/>
                <w:szCs w:val="21"/>
              </w:rPr>
            </w:pPr>
            <w:r>
              <w:rPr>
                <w:rFonts w:hint="eastAsia" w:ascii="宋体" w:hAnsi="宋体"/>
                <w:szCs w:val="21"/>
              </w:rPr>
              <w:t>姓名</w:t>
            </w:r>
          </w:p>
        </w:tc>
        <w:tc>
          <w:tcPr>
            <w:tcW w:w="1185" w:type="dxa"/>
            <w:vMerge w:val="restart"/>
            <w:vAlign w:val="center"/>
          </w:tcPr>
          <w:p>
            <w:pPr>
              <w:spacing w:before="100" w:beforeAutospacing="1" w:after="100" w:afterAutospacing="1" w:line="360" w:lineRule="auto"/>
              <w:jc w:val="center"/>
              <w:rPr>
                <w:rFonts w:ascii="宋体" w:hAnsi="宋体"/>
                <w:szCs w:val="21"/>
              </w:rPr>
            </w:pPr>
            <w:r>
              <w:rPr>
                <w:rFonts w:hint="eastAsia" w:ascii="宋体" w:hAnsi="宋体"/>
                <w:szCs w:val="21"/>
              </w:rPr>
              <w:t>职务</w:t>
            </w:r>
          </w:p>
        </w:tc>
        <w:tc>
          <w:tcPr>
            <w:tcW w:w="1185" w:type="dxa"/>
            <w:vMerge w:val="restart"/>
            <w:vAlign w:val="center"/>
          </w:tcPr>
          <w:p>
            <w:pPr>
              <w:spacing w:before="100" w:beforeAutospacing="1" w:after="100" w:afterAutospacing="1" w:line="360" w:lineRule="auto"/>
              <w:jc w:val="center"/>
              <w:rPr>
                <w:rFonts w:ascii="宋体" w:hAnsi="宋体"/>
                <w:szCs w:val="21"/>
              </w:rPr>
            </w:pPr>
            <w:r>
              <w:rPr>
                <w:rFonts w:hint="eastAsia" w:ascii="宋体" w:hAnsi="宋体"/>
                <w:szCs w:val="21"/>
              </w:rPr>
              <w:t>职称</w:t>
            </w:r>
          </w:p>
        </w:tc>
        <w:tc>
          <w:tcPr>
            <w:tcW w:w="1974" w:type="dxa"/>
            <w:vMerge w:val="restart"/>
            <w:vAlign w:val="center"/>
          </w:tcPr>
          <w:p>
            <w:pPr>
              <w:spacing w:before="100" w:beforeAutospacing="1" w:after="100" w:afterAutospacing="1" w:line="360" w:lineRule="auto"/>
              <w:jc w:val="center"/>
              <w:rPr>
                <w:rFonts w:ascii="宋体" w:hAnsi="宋体"/>
                <w:szCs w:val="21"/>
              </w:rPr>
            </w:pPr>
            <w:r>
              <w:rPr>
                <w:rFonts w:hint="eastAsia" w:ascii="宋体" w:hAnsi="宋体"/>
                <w:szCs w:val="21"/>
              </w:rPr>
              <w:t>手机号</w:t>
            </w:r>
          </w:p>
        </w:tc>
        <w:tc>
          <w:tcPr>
            <w:tcW w:w="2961" w:type="dxa"/>
            <w:gridSpan w:val="2"/>
            <w:vAlign w:val="center"/>
          </w:tcPr>
          <w:p>
            <w:pPr>
              <w:spacing w:before="100" w:beforeAutospacing="1" w:after="100" w:afterAutospacing="1" w:line="360" w:lineRule="auto"/>
              <w:jc w:val="center"/>
              <w:rPr>
                <w:rFonts w:ascii="宋体" w:hAnsi="宋体"/>
                <w:szCs w:val="21"/>
              </w:rPr>
            </w:pPr>
            <w:r>
              <w:rPr>
                <w:rFonts w:hint="eastAsia" w:ascii="宋体" w:hAnsi="宋体"/>
                <w:szCs w:val="21"/>
              </w:rPr>
              <w:t>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910" w:type="dxa"/>
            <w:vMerge w:val="continue"/>
            <w:vAlign w:val="center"/>
          </w:tcPr>
          <w:p>
            <w:pPr>
              <w:spacing w:before="100" w:beforeAutospacing="1" w:after="100" w:afterAutospacing="1" w:line="360" w:lineRule="auto"/>
              <w:ind w:firstLine="420" w:firstLineChars="200"/>
              <w:jc w:val="center"/>
              <w:rPr>
                <w:rFonts w:ascii="宋体" w:hAnsi="宋体"/>
                <w:szCs w:val="21"/>
              </w:rPr>
            </w:pPr>
          </w:p>
        </w:tc>
        <w:tc>
          <w:tcPr>
            <w:tcW w:w="1187" w:type="dxa"/>
            <w:vMerge w:val="continue"/>
            <w:vAlign w:val="center"/>
          </w:tcPr>
          <w:p>
            <w:pPr>
              <w:spacing w:before="100" w:beforeAutospacing="1" w:after="100" w:afterAutospacing="1" w:line="360" w:lineRule="auto"/>
              <w:ind w:firstLine="420" w:firstLineChars="200"/>
              <w:jc w:val="center"/>
              <w:rPr>
                <w:rFonts w:ascii="宋体" w:hAnsi="宋体"/>
                <w:szCs w:val="21"/>
              </w:rPr>
            </w:pPr>
          </w:p>
        </w:tc>
        <w:tc>
          <w:tcPr>
            <w:tcW w:w="1185" w:type="dxa"/>
            <w:vMerge w:val="continue"/>
            <w:vAlign w:val="center"/>
          </w:tcPr>
          <w:p>
            <w:pPr>
              <w:spacing w:before="100" w:beforeAutospacing="1" w:after="100" w:afterAutospacing="1" w:line="360" w:lineRule="auto"/>
              <w:ind w:firstLine="420" w:firstLineChars="200"/>
              <w:jc w:val="center"/>
              <w:rPr>
                <w:rFonts w:ascii="宋体" w:hAnsi="宋体"/>
                <w:szCs w:val="21"/>
              </w:rPr>
            </w:pPr>
          </w:p>
        </w:tc>
        <w:tc>
          <w:tcPr>
            <w:tcW w:w="1185" w:type="dxa"/>
            <w:vMerge w:val="continue"/>
            <w:vAlign w:val="center"/>
          </w:tcPr>
          <w:p>
            <w:pPr>
              <w:spacing w:before="100" w:beforeAutospacing="1" w:after="100" w:afterAutospacing="1" w:line="360" w:lineRule="auto"/>
              <w:ind w:firstLine="420" w:firstLineChars="200"/>
              <w:jc w:val="center"/>
              <w:rPr>
                <w:rFonts w:ascii="宋体" w:hAnsi="宋体"/>
                <w:szCs w:val="21"/>
              </w:rPr>
            </w:pPr>
          </w:p>
        </w:tc>
        <w:tc>
          <w:tcPr>
            <w:tcW w:w="1974" w:type="dxa"/>
            <w:vMerge w:val="continue"/>
            <w:vAlign w:val="center"/>
          </w:tcPr>
          <w:p>
            <w:pPr>
              <w:spacing w:before="100" w:beforeAutospacing="1" w:after="100" w:afterAutospacing="1" w:line="360" w:lineRule="auto"/>
              <w:ind w:firstLine="420" w:firstLineChars="200"/>
              <w:jc w:val="center"/>
              <w:rPr>
                <w:rFonts w:ascii="宋体" w:hAnsi="宋体"/>
                <w:szCs w:val="21"/>
              </w:rPr>
            </w:pPr>
          </w:p>
        </w:tc>
        <w:tc>
          <w:tcPr>
            <w:tcW w:w="987" w:type="dxa"/>
            <w:vAlign w:val="center"/>
          </w:tcPr>
          <w:p>
            <w:pPr>
              <w:spacing w:before="100" w:beforeAutospacing="1" w:after="100" w:afterAutospacing="1" w:line="360" w:lineRule="auto"/>
              <w:jc w:val="center"/>
              <w:rPr>
                <w:rFonts w:ascii="宋体" w:hAnsi="宋体"/>
                <w:szCs w:val="21"/>
              </w:rPr>
            </w:pPr>
            <w:r>
              <w:rPr>
                <w:rFonts w:hint="eastAsia" w:ascii="宋体" w:hAnsi="宋体"/>
                <w:szCs w:val="21"/>
              </w:rPr>
              <w:t>名称</w:t>
            </w:r>
          </w:p>
        </w:tc>
        <w:tc>
          <w:tcPr>
            <w:tcW w:w="1974" w:type="dxa"/>
            <w:vAlign w:val="center"/>
          </w:tcPr>
          <w:p>
            <w:pPr>
              <w:spacing w:before="100" w:beforeAutospacing="1" w:after="100" w:afterAutospacing="1" w:line="360" w:lineRule="auto"/>
              <w:jc w:val="center"/>
              <w:rPr>
                <w:rFonts w:ascii="宋体" w:hAnsi="宋体"/>
                <w:szCs w:val="21"/>
              </w:rPr>
            </w:pPr>
            <w:r>
              <w:rPr>
                <w:rFonts w:hint="eastAsia" w:ascii="宋体" w:hAnsi="宋体"/>
                <w:szCs w:val="21"/>
              </w:rPr>
              <w:t>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910" w:type="dxa"/>
            <w:vMerge w:val="restart"/>
            <w:textDirection w:val="tbRlV"/>
            <w:vAlign w:val="center"/>
          </w:tcPr>
          <w:p>
            <w:pPr>
              <w:spacing w:before="100" w:beforeAutospacing="1" w:after="100" w:afterAutospacing="1" w:line="360" w:lineRule="auto"/>
              <w:ind w:firstLine="420" w:firstLineChars="200"/>
              <w:rPr>
                <w:rFonts w:ascii="宋体" w:hAnsi="宋体"/>
                <w:szCs w:val="21"/>
              </w:rPr>
            </w:pPr>
            <w:r>
              <w:rPr>
                <w:rFonts w:hint="eastAsia" w:ascii="宋体" w:hAnsi="宋体"/>
                <w:szCs w:val="21"/>
              </w:rPr>
              <w:t>管理人员</w:t>
            </w:r>
          </w:p>
        </w:tc>
        <w:tc>
          <w:tcPr>
            <w:tcW w:w="1187" w:type="dxa"/>
          </w:tcPr>
          <w:p>
            <w:pPr>
              <w:spacing w:before="100" w:beforeAutospacing="1" w:after="100" w:afterAutospacing="1" w:line="360" w:lineRule="auto"/>
              <w:ind w:firstLine="420" w:firstLineChars="200"/>
              <w:rPr>
                <w:rFonts w:ascii="宋体" w:hAnsi="宋体"/>
                <w:szCs w:val="21"/>
              </w:rPr>
            </w:pPr>
          </w:p>
        </w:tc>
        <w:tc>
          <w:tcPr>
            <w:tcW w:w="1185" w:type="dxa"/>
          </w:tcPr>
          <w:p>
            <w:pPr>
              <w:spacing w:before="100" w:beforeAutospacing="1" w:after="100" w:afterAutospacing="1" w:line="360" w:lineRule="auto"/>
              <w:ind w:firstLine="420" w:firstLineChars="200"/>
              <w:rPr>
                <w:rFonts w:ascii="宋体" w:hAnsi="宋体"/>
                <w:szCs w:val="21"/>
              </w:rPr>
            </w:pPr>
          </w:p>
        </w:tc>
        <w:tc>
          <w:tcPr>
            <w:tcW w:w="1185" w:type="dxa"/>
          </w:tcPr>
          <w:p>
            <w:pPr>
              <w:spacing w:before="100" w:beforeAutospacing="1" w:after="100" w:afterAutospacing="1" w:line="360" w:lineRule="auto"/>
              <w:ind w:firstLine="420" w:firstLineChars="200"/>
              <w:rPr>
                <w:rFonts w:ascii="宋体" w:hAnsi="宋体"/>
                <w:szCs w:val="21"/>
              </w:rPr>
            </w:pPr>
          </w:p>
        </w:tc>
        <w:tc>
          <w:tcPr>
            <w:tcW w:w="1974" w:type="dxa"/>
          </w:tcPr>
          <w:p>
            <w:pPr>
              <w:spacing w:before="100" w:beforeAutospacing="1" w:after="100" w:afterAutospacing="1" w:line="360" w:lineRule="auto"/>
              <w:ind w:firstLine="420" w:firstLineChars="200"/>
              <w:rPr>
                <w:rFonts w:ascii="宋体" w:hAnsi="宋体"/>
                <w:szCs w:val="21"/>
              </w:rPr>
            </w:pPr>
          </w:p>
        </w:tc>
        <w:tc>
          <w:tcPr>
            <w:tcW w:w="987" w:type="dxa"/>
          </w:tcPr>
          <w:p>
            <w:pPr>
              <w:spacing w:before="100" w:beforeAutospacing="1" w:after="100" w:afterAutospacing="1" w:line="360" w:lineRule="auto"/>
              <w:ind w:firstLine="420" w:firstLineChars="200"/>
              <w:rPr>
                <w:rFonts w:ascii="宋体" w:hAnsi="宋体"/>
                <w:szCs w:val="21"/>
              </w:rPr>
            </w:pPr>
          </w:p>
        </w:tc>
        <w:tc>
          <w:tcPr>
            <w:tcW w:w="1974" w:type="dxa"/>
          </w:tcPr>
          <w:p>
            <w:pPr>
              <w:spacing w:before="100" w:beforeAutospacing="1" w:after="100" w:afterAutospacing="1"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910" w:type="dxa"/>
            <w:vMerge w:val="continue"/>
            <w:vAlign w:val="center"/>
          </w:tcPr>
          <w:p>
            <w:pPr>
              <w:spacing w:before="100" w:beforeAutospacing="1" w:after="100" w:afterAutospacing="1" w:line="360" w:lineRule="auto"/>
              <w:ind w:firstLine="420" w:firstLineChars="200"/>
              <w:rPr>
                <w:rFonts w:ascii="宋体" w:hAnsi="宋体"/>
                <w:szCs w:val="21"/>
              </w:rPr>
            </w:pPr>
          </w:p>
        </w:tc>
        <w:tc>
          <w:tcPr>
            <w:tcW w:w="1187" w:type="dxa"/>
          </w:tcPr>
          <w:p>
            <w:pPr>
              <w:spacing w:before="100" w:beforeAutospacing="1" w:after="100" w:afterAutospacing="1" w:line="360" w:lineRule="auto"/>
              <w:ind w:firstLine="420" w:firstLineChars="200"/>
              <w:rPr>
                <w:rFonts w:ascii="宋体" w:hAnsi="宋体"/>
                <w:szCs w:val="21"/>
              </w:rPr>
            </w:pPr>
          </w:p>
        </w:tc>
        <w:tc>
          <w:tcPr>
            <w:tcW w:w="1185" w:type="dxa"/>
          </w:tcPr>
          <w:p>
            <w:pPr>
              <w:spacing w:before="100" w:beforeAutospacing="1" w:after="100" w:afterAutospacing="1" w:line="360" w:lineRule="auto"/>
              <w:ind w:firstLine="420" w:firstLineChars="200"/>
              <w:rPr>
                <w:rFonts w:ascii="宋体" w:hAnsi="宋体"/>
                <w:szCs w:val="21"/>
              </w:rPr>
            </w:pPr>
          </w:p>
        </w:tc>
        <w:tc>
          <w:tcPr>
            <w:tcW w:w="1185" w:type="dxa"/>
          </w:tcPr>
          <w:p>
            <w:pPr>
              <w:spacing w:before="100" w:beforeAutospacing="1" w:after="100" w:afterAutospacing="1" w:line="360" w:lineRule="auto"/>
              <w:ind w:firstLine="420" w:firstLineChars="200"/>
              <w:rPr>
                <w:rFonts w:ascii="宋体" w:hAnsi="宋体"/>
                <w:szCs w:val="21"/>
              </w:rPr>
            </w:pPr>
          </w:p>
        </w:tc>
        <w:tc>
          <w:tcPr>
            <w:tcW w:w="1974" w:type="dxa"/>
          </w:tcPr>
          <w:p>
            <w:pPr>
              <w:spacing w:before="100" w:beforeAutospacing="1" w:after="100" w:afterAutospacing="1" w:line="360" w:lineRule="auto"/>
              <w:ind w:firstLine="420" w:firstLineChars="200"/>
              <w:rPr>
                <w:rFonts w:ascii="宋体" w:hAnsi="宋体"/>
                <w:szCs w:val="21"/>
              </w:rPr>
            </w:pPr>
          </w:p>
        </w:tc>
        <w:tc>
          <w:tcPr>
            <w:tcW w:w="987" w:type="dxa"/>
          </w:tcPr>
          <w:p>
            <w:pPr>
              <w:spacing w:before="100" w:beforeAutospacing="1" w:after="100" w:afterAutospacing="1" w:line="360" w:lineRule="auto"/>
              <w:ind w:firstLine="420" w:firstLineChars="200"/>
              <w:rPr>
                <w:rFonts w:ascii="宋体" w:hAnsi="宋体"/>
                <w:szCs w:val="21"/>
              </w:rPr>
            </w:pPr>
          </w:p>
        </w:tc>
        <w:tc>
          <w:tcPr>
            <w:tcW w:w="1974" w:type="dxa"/>
          </w:tcPr>
          <w:p>
            <w:pPr>
              <w:spacing w:before="100" w:beforeAutospacing="1" w:after="100" w:afterAutospacing="1"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910" w:type="dxa"/>
            <w:vMerge w:val="continue"/>
            <w:vAlign w:val="center"/>
          </w:tcPr>
          <w:p>
            <w:pPr>
              <w:spacing w:before="100" w:beforeAutospacing="1" w:after="100" w:afterAutospacing="1" w:line="360" w:lineRule="auto"/>
              <w:ind w:firstLine="420" w:firstLineChars="200"/>
              <w:rPr>
                <w:rFonts w:ascii="宋体" w:hAnsi="宋体"/>
                <w:szCs w:val="21"/>
              </w:rPr>
            </w:pPr>
          </w:p>
        </w:tc>
        <w:tc>
          <w:tcPr>
            <w:tcW w:w="1187" w:type="dxa"/>
          </w:tcPr>
          <w:p>
            <w:pPr>
              <w:spacing w:before="100" w:beforeAutospacing="1" w:after="100" w:afterAutospacing="1" w:line="360" w:lineRule="auto"/>
              <w:ind w:firstLine="420" w:firstLineChars="200"/>
              <w:rPr>
                <w:rFonts w:ascii="宋体" w:hAnsi="宋体"/>
                <w:szCs w:val="21"/>
              </w:rPr>
            </w:pPr>
          </w:p>
        </w:tc>
        <w:tc>
          <w:tcPr>
            <w:tcW w:w="1185" w:type="dxa"/>
          </w:tcPr>
          <w:p>
            <w:pPr>
              <w:spacing w:before="100" w:beforeAutospacing="1" w:after="100" w:afterAutospacing="1" w:line="360" w:lineRule="auto"/>
              <w:ind w:firstLine="420" w:firstLineChars="200"/>
              <w:rPr>
                <w:rFonts w:ascii="宋体" w:hAnsi="宋体"/>
                <w:szCs w:val="21"/>
              </w:rPr>
            </w:pPr>
          </w:p>
        </w:tc>
        <w:tc>
          <w:tcPr>
            <w:tcW w:w="1185" w:type="dxa"/>
          </w:tcPr>
          <w:p>
            <w:pPr>
              <w:spacing w:before="100" w:beforeAutospacing="1" w:after="100" w:afterAutospacing="1" w:line="360" w:lineRule="auto"/>
              <w:ind w:firstLine="420" w:firstLineChars="200"/>
              <w:rPr>
                <w:rFonts w:ascii="宋体" w:hAnsi="宋体"/>
                <w:szCs w:val="21"/>
              </w:rPr>
            </w:pPr>
          </w:p>
        </w:tc>
        <w:tc>
          <w:tcPr>
            <w:tcW w:w="1974" w:type="dxa"/>
          </w:tcPr>
          <w:p>
            <w:pPr>
              <w:spacing w:before="100" w:beforeAutospacing="1" w:after="100" w:afterAutospacing="1" w:line="360" w:lineRule="auto"/>
              <w:ind w:firstLine="420" w:firstLineChars="200"/>
              <w:rPr>
                <w:rFonts w:ascii="宋体" w:hAnsi="宋体"/>
                <w:szCs w:val="21"/>
              </w:rPr>
            </w:pPr>
          </w:p>
        </w:tc>
        <w:tc>
          <w:tcPr>
            <w:tcW w:w="987" w:type="dxa"/>
          </w:tcPr>
          <w:p>
            <w:pPr>
              <w:spacing w:before="100" w:beforeAutospacing="1" w:after="100" w:afterAutospacing="1" w:line="360" w:lineRule="auto"/>
              <w:ind w:firstLine="420" w:firstLineChars="200"/>
              <w:rPr>
                <w:rFonts w:ascii="宋体" w:hAnsi="宋体"/>
                <w:szCs w:val="21"/>
              </w:rPr>
            </w:pPr>
          </w:p>
        </w:tc>
        <w:tc>
          <w:tcPr>
            <w:tcW w:w="1974" w:type="dxa"/>
          </w:tcPr>
          <w:p>
            <w:pPr>
              <w:spacing w:before="100" w:beforeAutospacing="1" w:after="100" w:afterAutospacing="1"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10" w:type="dxa"/>
            <w:vMerge w:val="restart"/>
            <w:textDirection w:val="tbRlV"/>
            <w:vAlign w:val="center"/>
          </w:tcPr>
          <w:p>
            <w:pPr>
              <w:spacing w:before="100" w:beforeAutospacing="1" w:after="100" w:afterAutospacing="1" w:line="360" w:lineRule="auto"/>
              <w:ind w:firstLine="420" w:firstLineChars="200"/>
              <w:rPr>
                <w:rFonts w:ascii="宋体" w:hAnsi="宋体"/>
                <w:szCs w:val="21"/>
              </w:rPr>
            </w:pPr>
            <w:r>
              <w:rPr>
                <w:rFonts w:hint="eastAsia" w:ascii="宋体" w:hAnsi="宋体"/>
                <w:szCs w:val="21"/>
              </w:rPr>
              <w:t>技术人员</w:t>
            </w:r>
          </w:p>
        </w:tc>
        <w:tc>
          <w:tcPr>
            <w:tcW w:w="1187" w:type="dxa"/>
          </w:tcPr>
          <w:p>
            <w:pPr>
              <w:spacing w:before="100" w:beforeAutospacing="1" w:after="100" w:afterAutospacing="1" w:line="360" w:lineRule="auto"/>
              <w:ind w:firstLine="420" w:firstLineChars="200"/>
              <w:rPr>
                <w:rFonts w:ascii="宋体" w:hAnsi="宋体"/>
                <w:szCs w:val="21"/>
              </w:rPr>
            </w:pPr>
          </w:p>
        </w:tc>
        <w:tc>
          <w:tcPr>
            <w:tcW w:w="1185" w:type="dxa"/>
          </w:tcPr>
          <w:p>
            <w:pPr>
              <w:spacing w:before="100" w:beforeAutospacing="1" w:after="100" w:afterAutospacing="1" w:line="360" w:lineRule="auto"/>
              <w:ind w:firstLine="420" w:firstLineChars="200"/>
              <w:rPr>
                <w:rFonts w:ascii="宋体" w:hAnsi="宋体"/>
                <w:szCs w:val="21"/>
              </w:rPr>
            </w:pPr>
          </w:p>
        </w:tc>
        <w:tc>
          <w:tcPr>
            <w:tcW w:w="1185" w:type="dxa"/>
          </w:tcPr>
          <w:p>
            <w:pPr>
              <w:spacing w:before="100" w:beforeAutospacing="1" w:after="100" w:afterAutospacing="1" w:line="360" w:lineRule="auto"/>
              <w:ind w:firstLine="420" w:firstLineChars="200"/>
              <w:rPr>
                <w:rFonts w:ascii="宋体" w:hAnsi="宋体"/>
                <w:szCs w:val="21"/>
              </w:rPr>
            </w:pPr>
          </w:p>
        </w:tc>
        <w:tc>
          <w:tcPr>
            <w:tcW w:w="1974" w:type="dxa"/>
          </w:tcPr>
          <w:p>
            <w:pPr>
              <w:spacing w:before="100" w:beforeAutospacing="1" w:after="100" w:afterAutospacing="1" w:line="360" w:lineRule="auto"/>
              <w:ind w:firstLine="420" w:firstLineChars="200"/>
              <w:rPr>
                <w:rFonts w:ascii="宋体" w:hAnsi="宋体"/>
                <w:szCs w:val="21"/>
              </w:rPr>
            </w:pPr>
          </w:p>
        </w:tc>
        <w:tc>
          <w:tcPr>
            <w:tcW w:w="987" w:type="dxa"/>
          </w:tcPr>
          <w:p>
            <w:pPr>
              <w:spacing w:before="100" w:beforeAutospacing="1" w:after="100" w:afterAutospacing="1" w:line="360" w:lineRule="auto"/>
              <w:ind w:firstLine="420" w:firstLineChars="200"/>
              <w:rPr>
                <w:rFonts w:ascii="宋体" w:hAnsi="宋体"/>
                <w:szCs w:val="21"/>
              </w:rPr>
            </w:pPr>
          </w:p>
        </w:tc>
        <w:tc>
          <w:tcPr>
            <w:tcW w:w="1974" w:type="dxa"/>
          </w:tcPr>
          <w:p>
            <w:pPr>
              <w:spacing w:before="100" w:beforeAutospacing="1" w:after="100" w:afterAutospacing="1"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910" w:type="dxa"/>
            <w:vMerge w:val="continue"/>
            <w:vAlign w:val="center"/>
          </w:tcPr>
          <w:p>
            <w:pPr>
              <w:spacing w:before="100" w:beforeAutospacing="1" w:after="100" w:afterAutospacing="1" w:line="360" w:lineRule="auto"/>
              <w:ind w:firstLine="420" w:firstLineChars="200"/>
              <w:rPr>
                <w:rFonts w:ascii="宋体" w:hAnsi="宋体"/>
                <w:szCs w:val="21"/>
              </w:rPr>
            </w:pPr>
          </w:p>
        </w:tc>
        <w:tc>
          <w:tcPr>
            <w:tcW w:w="1187" w:type="dxa"/>
          </w:tcPr>
          <w:p>
            <w:pPr>
              <w:spacing w:before="100" w:beforeAutospacing="1" w:after="100" w:afterAutospacing="1" w:line="360" w:lineRule="auto"/>
              <w:ind w:firstLine="420" w:firstLineChars="200"/>
              <w:rPr>
                <w:rFonts w:ascii="宋体" w:hAnsi="宋体"/>
                <w:szCs w:val="21"/>
              </w:rPr>
            </w:pPr>
          </w:p>
        </w:tc>
        <w:tc>
          <w:tcPr>
            <w:tcW w:w="1185" w:type="dxa"/>
          </w:tcPr>
          <w:p>
            <w:pPr>
              <w:spacing w:before="100" w:beforeAutospacing="1" w:after="100" w:afterAutospacing="1" w:line="360" w:lineRule="auto"/>
              <w:ind w:firstLine="420" w:firstLineChars="200"/>
              <w:rPr>
                <w:rFonts w:ascii="宋体" w:hAnsi="宋体"/>
                <w:szCs w:val="21"/>
              </w:rPr>
            </w:pPr>
          </w:p>
        </w:tc>
        <w:tc>
          <w:tcPr>
            <w:tcW w:w="1185" w:type="dxa"/>
          </w:tcPr>
          <w:p>
            <w:pPr>
              <w:spacing w:before="100" w:beforeAutospacing="1" w:after="100" w:afterAutospacing="1" w:line="360" w:lineRule="auto"/>
              <w:ind w:firstLine="420" w:firstLineChars="200"/>
              <w:rPr>
                <w:rFonts w:ascii="宋体" w:hAnsi="宋体"/>
                <w:szCs w:val="21"/>
              </w:rPr>
            </w:pPr>
          </w:p>
        </w:tc>
        <w:tc>
          <w:tcPr>
            <w:tcW w:w="1974" w:type="dxa"/>
          </w:tcPr>
          <w:p>
            <w:pPr>
              <w:spacing w:before="100" w:beforeAutospacing="1" w:after="100" w:afterAutospacing="1" w:line="360" w:lineRule="auto"/>
              <w:ind w:firstLine="420" w:firstLineChars="200"/>
              <w:rPr>
                <w:rFonts w:ascii="宋体" w:hAnsi="宋体"/>
                <w:szCs w:val="21"/>
              </w:rPr>
            </w:pPr>
          </w:p>
        </w:tc>
        <w:tc>
          <w:tcPr>
            <w:tcW w:w="987" w:type="dxa"/>
          </w:tcPr>
          <w:p>
            <w:pPr>
              <w:spacing w:before="100" w:beforeAutospacing="1" w:after="100" w:afterAutospacing="1" w:line="360" w:lineRule="auto"/>
              <w:ind w:firstLine="420" w:firstLineChars="200"/>
              <w:rPr>
                <w:rFonts w:ascii="宋体" w:hAnsi="宋体"/>
                <w:szCs w:val="21"/>
              </w:rPr>
            </w:pPr>
          </w:p>
        </w:tc>
        <w:tc>
          <w:tcPr>
            <w:tcW w:w="1974" w:type="dxa"/>
          </w:tcPr>
          <w:p>
            <w:pPr>
              <w:spacing w:before="100" w:beforeAutospacing="1" w:after="100" w:afterAutospacing="1"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910" w:type="dxa"/>
            <w:vMerge w:val="continue"/>
            <w:vAlign w:val="center"/>
          </w:tcPr>
          <w:p>
            <w:pPr>
              <w:spacing w:before="100" w:beforeAutospacing="1" w:after="100" w:afterAutospacing="1" w:line="360" w:lineRule="auto"/>
              <w:ind w:firstLine="420" w:firstLineChars="200"/>
              <w:rPr>
                <w:rFonts w:ascii="宋体" w:hAnsi="宋体"/>
                <w:szCs w:val="21"/>
              </w:rPr>
            </w:pPr>
          </w:p>
        </w:tc>
        <w:tc>
          <w:tcPr>
            <w:tcW w:w="1187" w:type="dxa"/>
          </w:tcPr>
          <w:p>
            <w:pPr>
              <w:spacing w:before="100" w:beforeAutospacing="1" w:after="100" w:afterAutospacing="1" w:line="360" w:lineRule="auto"/>
              <w:ind w:firstLine="420" w:firstLineChars="200"/>
              <w:rPr>
                <w:rFonts w:ascii="宋体" w:hAnsi="宋体"/>
                <w:szCs w:val="21"/>
              </w:rPr>
            </w:pPr>
          </w:p>
        </w:tc>
        <w:tc>
          <w:tcPr>
            <w:tcW w:w="1185" w:type="dxa"/>
          </w:tcPr>
          <w:p>
            <w:pPr>
              <w:spacing w:before="100" w:beforeAutospacing="1" w:after="100" w:afterAutospacing="1" w:line="360" w:lineRule="auto"/>
              <w:ind w:firstLine="420" w:firstLineChars="200"/>
              <w:rPr>
                <w:rFonts w:ascii="宋体" w:hAnsi="宋体"/>
                <w:szCs w:val="21"/>
              </w:rPr>
            </w:pPr>
          </w:p>
        </w:tc>
        <w:tc>
          <w:tcPr>
            <w:tcW w:w="1185" w:type="dxa"/>
          </w:tcPr>
          <w:p>
            <w:pPr>
              <w:spacing w:before="100" w:beforeAutospacing="1" w:after="100" w:afterAutospacing="1" w:line="360" w:lineRule="auto"/>
              <w:ind w:firstLine="420" w:firstLineChars="200"/>
              <w:rPr>
                <w:rFonts w:ascii="宋体" w:hAnsi="宋体"/>
                <w:szCs w:val="21"/>
              </w:rPr>
            </w:pPr>
          </w:p>
        </w:tc>
        <w:tc>
          <w:tcPr>
            <w:tcW w:w="1974" w:type="dxa"/>
          </w:tcPr>
          <w:p>
            <w:pPr>
              <w:spacing w:before="100" w:beforeAutospacing="1" w:after="100" w:afterAutospacing="1" w:line="360" w:lineRule="auto"/>
              <w:ind w:firstLine="420" w:firstLineChars="200"/>
              <w:rPr>
                <w:rFonts w:ascii="宋体" w:hAnsi="宋体"/>
                <w:szCs w:val="21"/>
              </w:rPr>
            </w:pPr>
          </w:p>
        </w:tc>
        <w:tc>
          <w:tcPr>
            <w:tcW w:w="987" w:type="dxa"/>
          </w:tcPr>
          <w:p>
            <w:pPr>
              <w:spacing w:before="100" w:beforeAutospacing="1" w:after="100" w:afterAutospacing="1" w:line="360" w:lineRule="auto"/>
              <w:ind w:firstLine="420" w:firstLineChars="200"/>
              <w:rPr>
                <w:rFonts w:ascii="宋体" w:hAnsi="宋体"/>
                <w:szCs w:val="21"/>
              </w:rPr>
            </w:pPr>
          </w:p>
        </w:tc>
        <w:tc>
          <w:tcPr>
            <w:tcW w:w="1974" w:type="dxa"/>
          </w:tcPr>
          <w:p>
            <w:pPr>
              <w:spacing w:before="100" w:beforeAutospacing="1" w:after="100" w:afterAutospacing="1"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910" w:type="dxa"/>
            <w:vMerge w:val="restart"/>
            <w:textDirection w:val="tbRlV"/>
            <w:vAlign w:val="center"/>
          </w:tcPr>
          <w:p>
            <w:pPr>
              <w:spacing w:before="100" w:beforeAutospacing="1" w:after="100" w:afterAutospacing="1" w:line="360" w:lineRule="auto"/>
              <w:ind w:firstLine="420" w:firstLineChars="200"/>
              <w:jc w:val="center"/>
              <w:rPr>
                <w:rFonts w:ascii="宋体" w:hAnsi="宋体"/>
                <w:szCs w:val="21"/>
              </w:rPr>
            </w:pPr>
            <w:r>
              <w:rPr>
                <w:rFonts w:hint="eastAsia" w:ascii="宋体" w:hAnsi="宋体"/>
                <w:szCs w:val="21"/>
              </w:rPr>
              <w:t>其他</w:t>
            </w:r>
          </w:p>
        </w:tc>
        <w:tc>
          <w:tcPr>
            <w:tcW w:w="1187" w:type="dxa"/>
          </w:tcPr>
          <w:p>
            <w:pPr>
              <w:spacing w:before="100" w:beforeAutospacing="1" w:after="100" w:afterAutospacing="1" w:line="360" w:lineRule="auto"/>
              <w:ind w:firstLine="420" w:firstLineChars="200"/>
              <w:rPr>
                <w:rFonts w:ascii="宋体" w:hAnsi="宋体"/>
                <w:szCs w:val="21"/>
              </w:rPr>
            </w:pPr>
          </w:p>
        </w:tc>
        <w:tc>
          <w:tcPr>
            <w:tcW w:w="1185" w:type="dxa"/>
          </w:tcPr>
          <w:p>
            <w:pPr>
              <w:spacing w:before="100" w:beforeAutospacing="1" w:after="100" w:afterAutospacing="1" w:line="360" w:lineRule="auto"/>
              <w:ind w:firstLine="420" w:firstLineChars="200"/>
              <w:rPr>
                <w:rFonts w:ascii="宋体" w:hAnsi="宋体"/>
                <w:szCs w:val="21"/>
              </w:rPr>
            </w:pPr>
          </w:p>
        </w:tc>
        <w:tc>
          <w:tcPr>
            <w:tcW w:w="1185" w:type="dxa"/>
          </w:tcPr>
          <w:p>
            <w:pPr>
              <w:spacing w:before="100" w:beforeAutospacing="1" w:after="100" w:afterAutospacing="1" w:line="360" w:lineRule="auto"/>
              <w:ind w:firstLine="420" w:firstLineChars="200"/>
              <w:rPr>
                <w:rFonts w:ascii="宋体" w:hAnsi="宋体"/>
                <w:szCs w:val="21"/>
              </w:rPr>
            </w:pPr>
          </w:p>
        </w:tc>
        <w:tc>
          <w:tcPr>
            <w:tcW w:w="1974" w:type="dxa"/>
          </w:tcPr>
          <w:p>
            <w:pPr>
              <w:spacing w:before="100" w:beforeAutospacing="1" w:after="100" w:afterAutospacing="1" w:line="360" w:lineRule="auto"/>
              <w:ind w:firstLine="420" w:firstLineChars="200"/>
              <w:rPr>
                <w:rFonts w:ascii="宋体" w:hAnsi="宋体"/>
                <w:szCs w:val="21"/>
              </w:rPr>
            </w:pPr>
          </w:p>
        </w:tc>
        <w:tc>
          <w:tcPr>
            <w:tcW w:w="987" w:type="dxa"/>
          </w:tcPr>
          <w:p>
            <w:pPr>
              <w:spacing w:before="100" w:beforeAutospacing="1" w:after="100" w:afterAutospacing="1" w:line="360" w:lineRule="auto"/>
              <w:ind w:firstLine="420" w:firstLineChars="200"/>
              <w:rPr>
                <w:rFonts w:ascii="宋体" w:hAnsi="宋体"/>
                <w:szCs w:val="21"/>
              </w:rPr>
            </w:pPr>
          </w:p>
        </w:tc>
        <w:tc>
          <w:tcPr>
            <w:tcW w:w="1974" w:type="dxa"/>
          </w:tcPr>
          <w:p>
            <w:pPr>
              <w:spacing w:before="100" w:beforeAutospacing="1" w:after="100" w:afterAutospacing="1"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910" w:type="dxa"/>
            <w:vMerge w:val="continue"/>
            <w:textDirection w:val="tbRlV"/>
            <w:vAlign w:val="center"/>
          </w:tcPr>
          <w:p>
            <w:pPr>
              <w:spacing w:before="100" w:beforeAutospacing="1" w:after="100" w:afterAutospacing="1" w:line="360" w:lineRule="auto"/>
              <w:ind w:firstLine="420" w:firstLineChars="200"/>
              <w:rPr>
                <w:rFonts w:ascii="宋体" w:hAnsi="宋体"/>
                <w:szCs w:val="21"/>
              </w:rPr>
            </w:pPr>
          </w:p>
        </w:tc>
        <w:tc>
          <w:tcPr>
            <w:tcW w:w="1187" w:type="dxa"/>
          </w:tcPr>
          <w:p>
            <w:pPr>
              <w:spacing w:before="100" w:beforeAutospacing="1" w:after="100" w:afterAutospacing="1" w:line="360" w:lineRule="auto"/>
              <w:ind w:firstLine="420" w:firstLineChars="200"/>
              <w:rPr>
                <w:rFonts w:ascii="宋体" w:hAnsi="宋体"/>
                <w:szCs w:val="21"/>
              </w:rPr>
            </w:pPr>
          </w:p>
        </w:tc>
        <w:tc>
          <w:tcPr>
            <w:tcW w:w="1185" w:type="dxa"/>
          </w:tcPr>
          <w:p>
            <w:pPr>
              <w:spacing w:before="100" w:beforeAutospacing="1" w:after="100" w:afterAutospacing="1" w:line="360" w:lineRule="auto"/>
              <w:ind w:firstLine="420" w:firstLineChars="200"/>
              <w:rPr>
                <w:rFonts w:ascii="宋体" w:hAnsi="宋体"/>
                <w:szCs w:val="21"/>
              </w:rPr>
            </w:pPr>
          </w:p>
        </w:tc>
        <w:tc>
          <w:tcPr>
            <w:tcW w:w="1185" w:type="dxa"/>
          </w:tcPr>
          <w:p>
            <w:pPr>
              <w:spacing w:before="100" w:beforeAutospacing="1" w:after="100" w:afterAutospacing="1" w:line="360" w:lineRule="auto"/>
              <w:ind w:firstLine="420" w:firstLineChars="200"/>
              <w:rPr>
                <w:rFonts w:ascii="宋体" w:hAnsi="宋体"/>
                <w:szCs w:val="21"/>
              </w:rPr>
            </w:pPr>
          </w:p>
        </w:tc>
        <w:tc>
          <w:tcPr>
            <w:tcW w:w="1974" w:type="dxa"/>
          </w:tcPr>
          <w:p>
            <w:pPr>
              <w:spacing w:before="100" w:beforeAutospacing="1" w:after="100" w:afterAutospacing="1" w:line="360" w:lineRule="auto"/>
              <w:ind w:firstLine="420" w:firstLineChars="200"/>
              <w:rPr>
                <w:rFonts w:ascii="宋体" w:hAnsi="宋体"/>
                <w:szCs w:val="21"/>
              </w:rPr>
            </w:pPr>
          </w:p>
        </w:tc>
        <w:tc>
          <w:tcPr>
            <w:tcW w:w="987" w:type="dxa"/>
          </w:tcPr>
          <w:p>
            <w:pPr>
              <w:spacing w:before="100" w:beforeAutospacing="1" w:after="100" w:afterAutospacing="1" w:line="360" w:lineRule="auto"/>
              <w:ind w:firstLine="420" w:firstLineChars="200"/>
              <w:rPr>
                <w:rFonts w:ascii="宋体" w:hAnsi="宋体"/>
                <w:szCs w:val="21"/>
              </w:rPr>
            </w:pPr>
          </w:p>
        </w:tc>
        <w:tc>
          <w:tcPr>
            <w:tcW w:w="1974" w:type="dxa"/>
          </w:tcPr>
          <w:p>
            <w:pPr>
              <w:spacing w:before="100" w:beforeAutospacing="1" w:after="100" w:afterAutospacing="1"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910" w:type="dxa"/>
            <w:vMerge w:val="continue"/>
          </w:tcPr>
          <w:p>
            <w:pPr>
              <w:spacing w:before="100" w:beforeAutospacing="1" w:after="100" w:afterAutospacing="1" w:line="360" w:lineRule="auto"/>
              <w:ind w:firstLine="420" w:firstLineChars="200"/>
              <w:rPr>
                <w:rFonts w:ascii="宋体" w:hAnsi="宋体"/>
                <w:szCs w:val="21"/>
              </w:rPr>
            </w:pPr>
          </w:p>
        </w:tc>
        <w:tc>
          <w:tcPr>
            <w:tcW w:w="1187" w:type="dxa"/>
          </w:tcPr>
          <w:p>
            <w:pPr>
              <w:spacing w:before="100" w:beforeAutospacing="1" w:after="100" w:afterAutospacing="1" w:line="360" w:lineRule="auto"/>
              <w:ind w:firstLine="420" w:firstLineChars="200"/>
              <w:rPr>
                <w:rFonts w:ascii="宋体" w:hAnsi="宋体"/>
                <w:szCs w:val="21"/>
              </w:rPr>
            </w:pPr>
          </w:p>
        </w:tc>
        <w:tc>
          <w:tcPr>
            <w:tcW w:w="1185" w:type="dxa"/>
          </w:tcPr>
          <w:p>
            <w:pPr>
              <w:spacing w:before="100" w:beforeAutospacing="1" w:after="100" w:afterAutospacing="1" w:line="360" w:lineRule="auto"/>
              <w:ind w:firstLine="420" w:firstLineChars="200"/>
              <w:rPr>
                <w:rFonts w:ascii="宋体" w:hAnsi="宋体"/>
                <w:szCs w:val="21"/>
              </w:rPr>
            </w:pPr>
          </w:p>
        </w:tc>
        <w:tc>
          <w:tcPr>
            <w:tcW w:w="1185" w:type="dxa"/>
          </w:tcPr>
          <w:p>
            <w:pPr>
              <w:spacing w:before="100" w:beforeAutospacing="1" w:after="100" w:afterAutospacing="1" w:line="360" w:lineRule="auto"/>
              <w:ind w:firstLine="420" w:firstLineChars="200"/>
              <w:rPr>
                <w:rFonts w:ascii="宋体" w:hAnsi="宋体"/>
                <w:szCs w:val="21"/>
              </w:rPr>
            </w:pPr>
          </w:p>
        </w:tc>
        <w:tc>
          <w:tcPr>
            <w:tcW w:w="1974" w:type="dxa"/>
          </w:tcPr>
          <w:p>
            <w:pPr>
              <w:spacing w:before="100" w:beforeAutospacing="1" w:after="100" w:afterAutospacing="1" w:line="360" w:lineRule="auto"/>
              <w:ind w:firstLine="420" w:firstLineChars="200"/>
              <w:rPr>
                <w:rFonts w:ascii="宋体" w:hAnsi="宋体"/>
                <w:szCs w:val="21"/>
              </w:rPr>
            </w:pPr>
          </w:p>
        </w:tc>
        <w:tc>
          <w:tcPr>
            <w:tcW w:w="987" w:type="dxa"/>
          </w:tcPr>
          <w:p>
            <w:pPr>
              <w:spacing w:before="100" w:beforeAutospacing="1" w:after="100" w:afterAutospacing="1" w:line="360" w:lineRule="auto"/>
              <w:ind w:firstLine="420" w:firstLineChars="200"/>
              <w:rPr>
                <w:rFonts w:ascii="宋体" w:hAnsi="宋体"/>
                <w:szCs w:val="21"/>
              </w:rPr>
            </w:pPr>
          </w:p>
        </w:tc>
        <w:tc>
          <w:tcPr>
            <w:tcW w:w="1974" w:type="dxa"/>
          </w:tcPr>
          <w:p>
            <w:pPr>
              <w:spacing w:before="100" w:beforeAutospacing="1" w:after="100" w:afterAutospacing="1" w:line="360" w:lineRule="auto"/>
              <w:ind w:firstLine="420" w:firstLineChars="200"/>
              <w:rPr>
                <w:rFonts w:ascii="宋体" w:hAnsi="宋体"/>
                <w:szCs w:val="21"/>
              </w:rPr>
            </w:pPr>
          </w:p>
        </w:tc>
      </w:tr>
    </w:tbl>
    <w:p>
      <w:pPr>
        <w:spacing w:line="360" w:lineRule="auto"/>
        <w:ind w:firstLine="420" w:firstLineChars="200"/>
        <w:rPr>
          <w:rFonts w:ascii="Arial" w:hAnsi="Arial" w:cs="Arial"/>
          <w:szCs w:val="21"/>
        </w:rPr>
      </w:pPr>
    </w:p>
    <w:p>
      <w:pPr>
        <w:spacing w:line="360" w:lineRule="auto"/>
        <w:ind w:firstLine="420" w:firstLineChars="200"/>
        <w:rPr>
          <w:rFonts w:ascii="Arial" w:hAnsi="Arial" w:cs="Arial"/>
          <w:szCs w:val="21"/>
        </w:rPr>
      </w:pPr>
    </w:p>
    <w:p>
      <w:pPr>
        <w:spacing w:line="360" w:lineRule="auto"/>
        <w:ind w:firstLine="420" w:firstLineChars="200"/>
        <w:rPr>
          <w:rFonts w:ascii="Arial" w:hAnsi="Arial" w:cs="Arial"/>
          <w:szCs w:val="21"/>
        </w:rPr>
      </w:pPr>
    </w:p>
    <w:p>
      <w:pPr>
        <w:pStyle w:val="27"/>
        <w:rPr>
          <w:rFonts w:ascii="Arial" w:hAnsi="Arial" w:cs="Arial"/>
          <w:szCs w:val="21"/>
        </w:rPr>
      </w:pPr>
    </w:p>
    <w:p>
      <w:pPr>
        <w:pStyle w:val="5"/>
        <w:rPr>
          <w:rFonts w:ascii="Arial" w:hAnsi="Arial" w:cs="Arial"/>
          <w:szCs w:val="21"/>
        </w:rPr>
      </w:pPr>
    </w:p>
    <w:p>
      <w:pPr>
        <w:pStyle w:val="5"/>
        <w:rPr>
          <w:rFonts w:ascii="Arial" w:hAnsi="Arial" w:cs="Arial"/>
          <w:szCs w:val="21"/>
        </w:rPr>
      </w:pPr>
    </w:p>
    <w:p>
      <w:pPr>
        <w:pStyle w:val="5"/>
        <w:rPr>
          <w:rFonts w:ascii="Arial" w:hAnsi="Arial" w:cs="Arial"/>
          <w:szCs w:val="21"/>
        </w:rPr>
      </w:pPr>
    </w:p>
    <w:p>
      <w:pPr>
        <w:spacing w:line="360" w:lineRule="auto"/>
        <w:ind w:firstLine="420" w:firstLineChars="200"/>
        <w:rPr>
          <w:rFonts w:ascii="宋体" w:hAnsi="宋体"/>
          <w:szCs w:val="21"/>
        </w:rPr>
      </w:pPr>
      <w:r>
        <w:rPr>
          <w:rFonts w:hint="eastAsia" w:ascii="Arial" w:hAnsi="Arial" w:cs="Arial"/>
          <w:szCs w:val="21"/>
        </w:rPr>
        <w:t>7、</w:t>
      </w:r>
      <w:r>
        <w:rPr>
          <w:rFonts w:ascii="Arial" w:hAnsi="Arial" w:cs="Arial"/>
          <w:szCs w:val="21"/>
        </w:rPr>
        <w:t>参加政府采购活动前3年内在经营活动中没有重大违法记录的书面声明</w:t>
      </w:r>
      <w:r>
        <w:rPr>
          <w:rFonts w:hint="eastAsia" w:ascii="Arial" w:hAnsi="Arial" w:cs="Arial"/>
          <w:szCs w:val="21"/>
        </w:rPr>
        <w:t>；</w:t>
      </w:r>
    </w:p>
    <w:p>
      <w:pPr>
        <w:spacing w:line="360" w:lineRule="auto"/>
        <w:jc w:val="center"/>
        <w:rPr>
          <w:rFonts w:ascii="Arial" w:hAnsi="Arial" w:cs="Arial"/>
          <w:b/>
          <w:kern w:val="0"/>
          <w:sz w:val="24"/>
          <w:szCs w:val="18"/>
        </w:rPr>
      </w:pPr>
      <w:r>
        <w:rPr>
          <w:rFonts w:hint="eastAsia" w:ascii="Arial" w:hAnsi="Arial" w:cs="Arial"/>
          <w:b/>
          <w:kern w:val="0"/>
          <w:sz w:val="24"/>
          <w:szCs w:val="18"/>
        </w:rPr>
        <w:t>声明</w:t>
      </w:r>
    </w:p>
    <w:p>
      <w:pPr>
        <w:spacing w:line="360" w:lineRule="auto"/>
        <w:ind w:firstLine="420" w:firstLineChars="200"/>
        <w:rPr>
          <w:rFonts w:hint="eastAsia" w:ascii="宋体" w:hAnsi="宋体" w:eastAsia="宋体"/>
          <w:szCs w:val="21"/>
          <w:lang w:eastAsia="zh-CN"/>
        </w:rPr>
      </w:pPr>
      <w:r>
        <w:rPr>
          <w:rFonts w:hint="eastAsia" w:ascii="宋体" w:hAnsi="宋体"/>
          <w:szCs w:val="21"/>
        </w:rPr>
        <w:t>致:</w:t>
      </w:r>
      <w:r>
        <w:rPr>
          <w:rFonts w:hint="eastAsia"/>
        </w:rPr>
        <w:t xml:space="preserve"> </w:t>
      </w:r>
      <w:r>
        <w:rPr>
          <w:rFonts w:hint="eastAsia" w:ascii="宋体" w:hAnsi="宋体"/>
          <w:szCs w:val="21"/>
          <w:lang w:eastAsia="zh-CN"/>
        </w:rPr>
        <w:t>潜山市第一人民医院</w:t>
      </w:r>
    </w:p>
    <w:p>
      <w:pPr>
        <w:spacing w:line="360" w:lineRule="auto"/>
        <w:ind w:firstLine="420" w:firstLineChars="200"/>
        <w:rPr>
          <w:rFonts w:ascii="宋体" w:hAnsi="宋体"/>
          <w:szCs w:val="21"/>
        </w:rPr>
      </w:pPr>
      <w:r>
        <w:rPr>
          <w:rFonts w:hint="eastAsia" w:ascii="宋体" w:hAnsi="宋体"/>
          <w:szCs w:val="21"/>
        </w:rPr>
        <w:t>我单位在参加政府采购活动前3年内在经营活动中没有政府采购法第二十二条第一款第（五）项所称重大违法记录，包括：</w:t>
      </w:r>
    </w:p>
    <w:p>
      <w:pPr>
        <w:spacing w:line="360" w:lineRule="auto"/>
        <w:ind w:firstLine="420" w:firstLineChars="200"/>
        <w:rPr>
          <w:rFonts w:ascii="宋体" w:hAnsi="宋体"/>
          <w:szCs w:val="21"/>
        </w:rPr>
      </w:pPr>
      <w:r>
        <w:rPr>
          <w:rFonts w:hint="eastAsia" w:ascii="宋体" w:hAnsi="宋体"/>
          <w:szCs w:val="21"/>
        </w:rPr>
        <w:t>我单位因违法经营受到刑事处罚或者责令停产停业、吊销许可证或者执照、较大数额罚款等行政处罚。</w:t>
      </w:r>
    </w:p>
    <w:p>
      <w:pPr>
        <w:spacing w:line="360" w:lineRule="auto"/>
        <w:ind w:firstLine="420" w:firstLineChars="200"/>
        <w:rPr>
          <w:rFonts w:ascii="宋体" w:hAnsi="宋体"/>
          <w:szCs w:val="21"/>
        </w:rPr>
      </w:pPr>
      <w:r>
        <w:rPr>
          <w:rFonts w:hint="eastAsia" w:ascii="宋体" w:hAnsi="宋体"/>
          <w:szCs w:val="21"/>
        </w:rPr>
        <w:t>　</w:t>
      </w:r>
    </w:p>
    <w:p>
      <w:pPr>
        <w:spacing w:line="360" w:lineRule="auto"/>
        <w:ind w:firstLine="420" w:firstLineChars="200"/>
        <w:rPr>
          <w:rFonts w:ascii="宋体" w:hAnsi="宋体"/>
          <w:szCs w:val="21"/>
        </w:rPr>
      </w:pPr>
      <w:r>
        <w:rPr>
          <w:rFonts w:hint="eastAsia" w:ascii="宋体" w:hAnsi="宋体"/>
          <w:szCs w:val="21"/>
        </w:rPr>
        <w:t>特此声明！</w:t>
      </w:r>
    </w:p>
    <w:p>
      <w:pPr>
        <w:spacing w:line="360" w:lineRule="auto"/>
        <w:ind w:firstLine="420" w:firstLineChars="200"/>
        <w:rPr>
          <w:rFonts w:ascii="宋体" w:hAnsi="宋体"/>
          <w:szCs w:val="21"/>
        </w:rPr>
      </w:pPr>
      <w:r>
        <w:rPr>
          <w:rFonts w:hint="eastAsia" w:ascii="宋体" w:hAnsi="宋体"/>
          <w:szCs w:val="21"/>
        </w:rPr>
        <w:t xml:space="preserve">                                                  </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 xml:space="preserve">                                            投标人名称（盖章）：                        </w:t>
      </w:r>
    </w:p>
    <w:p>
      <w:pPr>
        <w:spacing w:line="360" w:lineRule="auto"/>
        <w:ind w:firstLine="420" w:firstLineChars="200"/>
        <w:rPr>
          <w:rFonts w:ascii="宋体" w:hAnsi="宋体"/>
          <w:szCs w:val="21"/>
        </w:rPr>
      </w:pPr>
      <w:r>
        <w:rPr>
          <w:rFonts w:hint="eastAsia" w:ascii="宋体" w:hAnsi="宋体"/>
          <w:szCs w:val="21"/>
        </w:rPr>
        <w:t xml:space="preserve">                                            法定代表人（盖章）：                </w:t>
      </w:r>
    </w:p>
    <w:p>
      <w:pPr>
        <w:spacing w:line="360" w:lineRule="auto"/>
        <w:ind w:firstLine="420" w:firstLineChars="200"/>
        <w:rPr>
          <w:rFonts w:ascii="宋体" w:hAnsi="宋体"/>
          <w:szCs w:val="21"/>
        </w:rPr>
      </w:pPr>
      <w:r>
        <w:rPr>
          <w:rFonts w:hint="eastAsia" w:ascii="宋体" w:hAnsi="宋体"/>
          <w:szCs w:val="21"/>
        </w:rPr>
        <w:t xml:space="preserve">                                            日期：        年       月       日</w:t>
      </w:r>
    </w:p>
    <w:p>
      <w:pPr>
        <w:pStyle w:val="45"/>
        <w:spacing w:before="156"/>
        <w:ind w:left="0" w:leftChars="0" w:firstLine="0" w:firstLineChars="0"/>
        <w:rPr>
          <w:rFonts w:ascii="宋体" w:hAnsi="宋体"/>
          <w:szCs w:val="21"/>
        </w:rPr>
      </w:pPr>
      <w:r>
        <w:rPr>
          <w:rFonts w:hint="eastAsia" w:ascii="宋体" w:hAnsi="宋体"/>
          <w:szCs w:val="21"/>
        </w:rPr>
        <w:t xml:space="preserve"> </w:t>
      </w:r>
      <w:r>
        <w:rPr>
          <w:rFonts w:ascii="宋体" w:hAnsi="宋体"/>
          <w:szCs w:val="21"/>
        </w:rPr>
        <w:t xml:space="preserve">   </w:t>
      </w:r>
    </w:p>
    <w:p>
      <w:pPr>
        <w:pStyle w:val="67"/>
        <w:numPr>
          <w:ilvl w:val="0"/>
          <w:numId w:val="6"/>
        </w:numPr>
        <w:spacing w:line="360" w:lineRule="auto"/>
        <w:ind w:firstLineChars="0"/>
        <w:rPr>
          <w:rFonts w:ascii="宋体" w:hAnsi="宋体"/>
          <w:b/>
          <w:szCs w:val="21"/>
        </w:rPr>
      </w:pPr>
      <w:r>
        <w:rPr>
          <w:rFonts w:hint="eastAsia" w:ascii="宋体" w:hAnsi="宋体"/>
          <w:b/>
          <w:szCs w:val="21"/>
        </w:rPr>
        <w:t>不在财政部门依法作出的禁止参加政府采购活动的行政处罚期限内的书面声明；</w:t>
      </w:r>
    </w:p>
    <w:p>
      <w:pPr>
        <w:spacing w:line="360" w:lineRule="auto"/>
        <w:jc w:val="center"/>
        <w:rPr>
          <w:rFonts w:ascii="Arial" w:hAnsi="Arial" w:cs="Arial"/>
          <w:b/>
          <w:kern w:val="0"/>
          <w:sz w:val="24"/>
          <w:szCs w:val="18"/>
        </w:rPr>
      </w:pPr>
      <w:r>
        <w:rPr>
          <w:rFonts w:hint="eastAsia" w:ascii="Arial" w:hAnsi="Arial" w:cs="Arial"/>
          <w:b/>
          <w:kern w:val="0"/>
          <w:sz w:val="24"/>
          <w:szCs w:val="18"/>
        </w:rPr>
        <w:t>声明</w:t>
      </w:r>
    </w:p>
    <w:p>
      <w:pPr>
        <w:spacing w:line="360" w:lineRule="auto"/>
        <w:ind w:firstLine="420" w:firstLineChars="200"/>
        <w:rPr>
          <w:rFonts w:hint="eastAsia" w:ascii="宋体" w:hAnsi="宋体" w:eastAsia="宋体"/>
          <w:szCs w:val="21"/>
          <w:lang w:eastAsia="zh-CN"/>
        </w:rPr>
      </w:pPr>
      <w:r>
        <w:rPr>
          <w:rFonts w:hint="eastAsia" w:ascii="宋体" w:hAnsi="宋体"/>
          <w:szCs w:val="21"/>
        </w:rPr>
        <w:t>致:</w:t>
      </w:r>
      <w:r>
        <w:rPr>
          <w:rFonts w:hint="eastAsia"/>
        </w:rPr>
        <w:t xml:space="preserve"> </w:t>
      </w:r>
      <w:r>
        <w:rPr>
          <w:rFonts w:hint="eastAsia" w:ascii="宋体" w:hAnsi="宋体"/>
          <w:szCs w:val="21"/>
          <w:lang w:eastAsia="zh-CN"/>
        </w:rPr>
        <w:t>潜山市第一人民医院</w:t>
      </w:r>
    </w:p>
    <w:p>
      <w:pPr>
        <w:spacing w:line="360" w:lineRule="auto"/>
        <w:ind w:firstLine="420" w:firstLineChars="200"/>
        <w:rPr>
          <w:rFonts w:ascii="宋体" w:hAnsi="宋体"/>
          <w:szCs w:val="21"/>
        </w:rPr>
      </w:pPr>
      <w:r>
        <w:rPr>
          <w:rFonts w:hint="eastAsia" w:ascii="宋体" w:hAnsi="宋体"/>
          <w:szCs w:val="21"/>
        </w:rPr>
        <w:t>我单位不在财政部门依法作出的禁止参加政府采购活动的行政处罚期限内。</w:t>
      </w:r>
    </w:p>
    <w:p>
      <w:pPr>
        <w:spacing w:line="360" w:lineRule="auto"/>
        <w:ind w:firstLine="420" w:firstLineChars="200"/>
        <w:rPr>
          <w:rFonts w:ascii="宋体" w:hAnsi="宋体"/>
          <w:szCs w:val="21"/>
        </w:rPr>
      </w:pPr>
      <w:r>
        <w:rPr>
          <w:rFonts w:hint="eastAsia" w:ascii="宋体" w:hAnsi="宋体"/>
          <w:szCs w:val="21"/>
        </w:rPr>
        <w:t>　</w:t>
      </w:r>
    </w:p>
    <w:p>
      <w:pPr>
        <w:spacing w:line="360" w:lineRule="auto"/>
        <w:ind w:firstLine="420" w:firstLineChars="200"/>
        <w:rPr>
          <w:rFonts w:ascii="宋体" w:hAnsi="宋体"/>
          <w:szCs w:val="21"/>
        </w:rPr>
      </w:pPr>
      <w:r>
        <w:rPr>
          <w:rFonts w:hint="eastAsia" w:ascii="宋体" w:hAnsi="宋体"/>
          <w:szCs w:val="21"/>
        </w:rPr>
        <w:t>特此声明！</w:t>
      </w:r>
    </w:p>
    <w:p>
      <w:pPr>
        <w:spacing w:line="360" w:lineRule="auto"/>
        <w:ind w:firstLine="420" w:firstLineChars="200"/>
        <w:rPr>
          <w:rFonts w:ascii="宋体" w:hAnsi="宋体"/>
          <w:szCs w:val="21"/>
        </w:rPr>
      </w:pPr>
      <w:r>
        <w:rPr>
          <w:rFonts w:hint="eastAsia" w:ascii="宋体" w:hAnsi="宋体"/>
          <w:szCs w:val="21"/>
        </w:rPr>
        <w:t xml:space="preserve">                                                  </w:t>
      </w:r>
    </w:p>
    <w:p>
      <w:pPr>
        <w:spacing w:line="360" w:lineRule="auto"/>
        <w:ind w:firstLine="420" w:firstLineChars="200"/>
        <w:rPr>
          <w:rFonts w:ascii="宋体" w:hAnsi="宋体"/>
          <w:szCs w:val="21"/>
        </w:rPr>
      </w:pPr>
      <w:r>
        <w:rPr>
          <w:rFonts w:hint="eastAsia" w:ascii="宋体" w:hAnsi="宋体"/>
          <w:szCs w:val="21"/>
        </w:rPr>
        <w:t xml:space="preserve">                                            投标人名称（盖章）：                        </w:t>
      </w:r>
    </w:p>
    <w:p>
      <w:pPr>
        <w:spacing w:line="360" w:lineRule="auto"/>
        <w:ind w:firstLine="420" w:firstLineChars="200"/>
        <w:rPr>
          <w:rFonts w:ascii="宋体" w:hAnsi="宋体"/>
          <w:szCs w:val="21"/>
        </w:rPr>
      </w:pPr>
      <w:r>
        <w:rPr>
          <w:rFonts w:hint="eastAsia" w:ascii="宋体" w:hAnsi="宋体"/>
          <w:szCs w:val="21"/>
        </w:rPr>
        <w:t xml:space="preserve">                                            法定代表人（盖章）：                </w:t>
      </w:r>
    </w:p>
    <w:p>
      <w:pPr>
        <w:spacing w:line="360" w:lineRule="auto"/>
        <w:ind w:firstLine="420" w:firstLineChars="200"/>
        <w:rPr>
          <w:rFonts w:ascii="宋体" w:hAnsi="宋体"/>
          <w:szCs w:val="21"/>
        </w:rPr>
      </w:pPr>
      <w:r>
        <w:rPr>
          <w:rFonts w:hint="eastAsia" w:ascii="宋体" w:hAnsi="宋体"/>
          <w:szCs w:val="21"/>
        </w:rPr>
        <w:t xml:space="preserve">                                            日期：        年       月       日</w:t>
      </w:r>
    </w:p>
    <w:p>
      <w:pPr>
        <w:pStyle w:val="45"/>
        <w:spacing w:before="156"/>
        <w:ind w:left="0" w:leftChars="0" w:firstLine="0" w:firstLineChars="0"/>
      </w:pPr>
    </w:p>
    <w:p>
      <w:pPr>
        <w:pStyle w:val="45"/>
        <w:spacing w:before="156"/>
        <w:ind w:left="0" w:leftChars="0" w:firstLine="0" w:firstLineChars="0"/>
      </w:pPr>
    </w:p>
    <w:p>
      <w:pPr>
        <w:pStyle w:val="45"/>
        <w:spacing w:before="156"/>
        <w:ind w:left="0" w:leftChars="0" w:firstLine="0" w:firstLineChars="0"/>
      </w:pPr>
    </w:p>
    <w:p>
      <w:pPr>
        <w:pStyle w:val="45"/>
        <w:spacing w:before="156"/>
        <w:ind w:left="0" w:leftChars="0" w:firstLine="0" w:firstLineChars="0"/>
      </w:pPr>
    </w:p>
    <w:p>
      <w:pPr>
        <w:pStyle w:val="45"/>
        <w:spacing w:before="156"/>
        <w:ind w:left="0" w:leftChars="0" w:firstLine="0" w:firstLineChars="0"/>
      </w:pPr>
    </w:p>
    <w:p>
      <w:pPr>
        <w:pStyle w:val="67"/>
        <w:numPr>
          <w:ilvl w:val="0"/>
          <w:numId w:val="7"/>
        </w:numPr>
        <w:spacing w:line="360" w:lineRule="auto"/>
        <w:ind w:firstLineChars="0"/>
        <w:rPr>
          <w:rFonts w:ascii="宋体" w:hAnsi="宋体"/>
          <w:szCs w:val="21"/>
        </w:rPr>
      </w:pPr>
      <w:r>
        <w:rPr>
          <w:rFonts w:hint="eastAsia" w:ascii="宋体" w:hAnsi="宋体"/>
          <w:szCs w:val="21"/>
        </w:rPr>
        <w:t xml:space="preserve"> 一个完整年度（2019年或2020年）财务会计报表；</w:t>
      </w:r>
    </w:p>
    <w:p>
      <w:pPr>
        <w:spacing w:line="360" w:lineRule="auto"/>
        <w:rPr>
          <w:rFonts w:ascii="Arial" w:hAnsi="Arial" w:cs="Arial"/>
          <w:szCs w:val="21"/>
        </w:rPr>
      </w:pPr>
      <w:r>
        <w:rPr>
          <w:rFonts w:hint="eastAsia" w:ascii="Arial" w:hAnsi="Arial" w:cs="Arial"/>
          <w:szCs w:val="21"/>
        </w:rPr>
        <w:t>　　   如供应商为新成立的供应商，请提供上一月度（或季度）财务会计报表影印件，并加盖供应商公章。</w:t>
      </w:r>
    </w:p>
    <w:p>
      <w:pPr>
        <w:spacing w:line="360" w:lineRule="auto"/>
        <w:ind w:firstLine="420" w:firstLineChars="200"/>
        <w:rPr>
          <w:rFonts w:ascii="宋体" w:hAnsi="宋体"/>
          <w:szCs w:val="21"/>
        </w:rPr>
      </w:pPr>
      <w:r>
        <w:rPr>
          <w:rFonts w:hint="eastAsia" w:ascii="宋体" w:hAnsi="宋体"/>
          <w:szCs w:val="21"/>
        </w:rPr>
        <w:t>10、本项目招标文件中要求投标人提供的其他证明材料。</w:t>
      </w:r>
    </w:p>
    <w:p>
      <w:pPr>
        <w:spacing w:line="360" w:lineRule="auto"/>
        <w:ind w:firstLine="420" w:firstLineChars="200"/>
        <w:rPr>
          <w:rFonts w:ascii="宋体" w:hAnsi="宋体"/>
          <w:szCs w:val="21"/>
        </w:rPr>
      </w:pPr>
      <w:r>
        <w:rPr>
          <w:rFonts w:hint="eastAsia" w:ascii="宋体" w:hAnsi="宋体"/>
          <w:szCs w:val="21"/>
        </w:rPr>
        <w:t>1</w:t>
      </w:r>
      <w:r>
        <w:rPr>
          <w:rFonts w:ascii="宋体" w:hAnsi="宋体"/>
          <w:szCs w:val="21"/>
        </w:rPr>
        <w:t>1</w:t>
      </w:r>
      <w:r>
        <w:rPr>
          <w:rFonts w:hint="eastAsia" w:ascii="宋体" w:hAnsi="宋体"/>
          <w:szCs w:val="21"/>
        </w:rPr>
        <w:t>、须提供上述资格证明文件影印件加盖供应商公章。</w:t>
      </w:r>
    </w:p>
    <w:p>
      <w:pPr>
        <w:widowControl/>
        <w:spacing w:line="360" w:lineRule="auto"/>
        <w:ind w:firstLine="482" w:firstLineChars="200"/>
        <w:jc w:val="left"/>
        <w:rPr>
          <w:rFonts w:ascii="宋体" w:hAnsi="宋体"/>
          <w:b/>
          <w:sz w:val="24"/>
        </w:rPr>
      </w:pPr>
    </w:p>
    <w:p>
      <w:pPr>
        <w:widowControl/>
        <w:spacing w:line="360" w:lineRule="auto"/>
        <w:ind w:firstLine="482" w:firstLineChars="200"/>
        <w:jc w:val="left"/>
        <w:rPr>
          <w:rFonts w:ascii="宋体" w:hAnsi="宋体"/>
          <w:b/>
          <w:sz w:val="24"/>
        </w:rPr>
      </w:pPr>
      <w:r>
        <w:rPr>
          <w:rFonts w:hint="eastAsia" w:ascii="宋体" w:hAnsi="宋体"/>
          <w:b/>
          <w:sz w:val="24"/>
        </w:rPr>
        <w:t>12. 承诺函</w:t>
      </w:r>
    </w:p>
    <w:p>
      <w:pPr>
        <w:widowControl/>
        <w:spacing w:line="360" w:lineRule="auto"/>
        <w:jc w:val="center"/>
        <w:rPr>
          <w:rFonts w:ascii="宋体" w:hAnsi="宋体"/>
          <w:b/>
          <w:sz w:val="24"/>
        </w:rPr>
      </w:pPr>
      <w:r>
        <w:rPr>
          <w:rFonts w:hint="eastAsia" w:ascii="宋体" w:hAnsi="宋体"/>
          <w:b/>
          <w:sz w:val="24"/>
        </w:rPr>
        <w:t>承诺函</w:t>
      </w:r>
    </w:p>
    <w:p>
      <w:pPr>
        <w:widowControl/>
        <w:spacing w:line="360" w:lineRule="auto"/>
        <w:jc w:val="left"/>
        <w:rPr>
          <w:rFonts w:ascii="宋体" w:hAnsi="宋体"/>
          <w:sz w:val="24"/>
        </w:rPr>
      </w:pPr>
      <w:r>
        <w:rPr>
          <w:rFonts w:hint="eastAsia" w:ascii="宋体" w:hAnsi="宋体"/>
          <w:sz w:val="24"/>
        </w:rPr>
        <w:t>致_______________（采购人）、相关监督部门</w:t>
      </w:r>
    </w:p>
    <w:p>
      <w:pPr>
        <w:widowControl/>
        <w:spacing w:line="360" w:lineRule="auto"/>
        <w:jc w:val="left"/>
        <w:rPr>
          <w:rFonts w:ascii="宋体" w:hAnsi="宋体"/>
          <w:sz w:val="24"/>
        </w:rPr>
      </w:pPr>
      <w:r>
        <w:rPr>
          <w:rFonts w:hint="eastAsia" w:ascii="宋体" w:hAnsi="宋体"/>
          <w:sz w:val="24"/>
        </w:rPr>
        <w:t xml:space="preserve">  我公司承诺，与参加本项目投标的其他企业无任何控股和管理关系。否则，我公司</w:t>
      </w:r>
    </w:p>
    <w:p>
      <w:pPr>
        <w:widowControl/>
        <w:spacing w:line="360" w:lineRule="auto"/>
        <w:jc w:val="left"/>
        <w:rPr>
          <w:rFonts w:ascii="宋体" w:hAnsi="宋体"/>
          <w:sz w:val="24"/>
        </w:rPr>
      </w:pPr>
      <w:r>
        <w:rPr>
          <w:rFonts w:hint="eastAsia" w:ascii="宋体" w:hAnsi="宋体"/>
          <w:sz w:val="24"/>
        </w:rPr>
        <w:t>愿意接受采购人、相关监督部门作出的包括但不限于取消投标（中标）资格、投标保证</w:t>
      </w:r>
    </w:p>
    <w:p>
      <w:pPr>
        <w:widowControl/>
        <w:spacing w:line="360" w:lineRule="auto"/>
        <w:jc w:val="left"/>
        <w:rPr>
          <w:rFonts w:ascii="宋体" w:hAnsi="宋体"/>
          <w:sz w:val="24"/>
        </w:rPr>
      </w:pPr>
      <w:r>
        <w:rPr>
          <w:rFonts w:hint="eastAsia" w:ascii="宋体" w:hAnsi="宋体"/>
          <w:sz w:val="24"/>
        </w:rPr>
        <w:t>金不予退还、实施不良行为记录、限制投标、公开曝光及相关的行政处理、处罚。</w:t>
      </w:r>
    </w:p>
    <w:p>
      <w:pPr>
        <w:widowControl/>
        <w:spacing w:line="360" w:lineRule="auto"/>
        <w:jc w:val="left"/>
        <w:rPr>
          <w:rFonts w:ascii="宋体" w:hAnsi="宋体"/>
          <w:sz w:val="24"/>
        </w:rPr>
      </w:pPr>
      <w:r>
        <w:rPr>
          <w:rFonts w:hint="eastAsia" w:ascii="宋体" w:hAnsi="宋体"/>
          <w:sz w:val="24"/>
        </w:rPr>
        <w:t xml:space="preserve">                                       供应商名称（盖章）：</w:t>
      </w:r>
    </w:p>
    <w:p>
      <w:pPr>
        <w:widowControl/>
        <w:spacing w:line="360" w:lineRule="auto"/>
        <w:jc w:val="left"/>
        <w:rPr>
          <w:rFonts w:ascii="宋体" w:hAnsi="宋体"/>
          <w:sz w:val="24"/>
        </w:rPr>
      </w:pPr>
      <w:r>
        <w:rPr>
          <w:rFonts w:hint="eastAsia" w:ascii="宋体" w:hAnsi="宋体"/>
          <w:sz w:val="24"/>
        </w:rPr>
        <w:t xml:space="preserve">                                       法定代表人（盖章）：</w:t>
      </w:r>
    </w:p>
    <w:p>
      <w:pPr>
        <w:widowControl/>
        <w:spacing w:line="360" w:lineRule="auto"/>
        <w:jc w:val="left"/>
        <w:rPr>
          <w:rFonts w:ascii="宋体" w:hAnsi="宋体"/>
          <w:szCs w:val="21"/>
        </w:rPr>
      </w:pPr>
      <w:r>
        <w:rPr>
          <w:rFonts w:hint="eastAsia" w:ascii="宋体" w:hAnsi="宋体"/>
          <w:sz w:val="24"/>
        </w:rPr>
        <w:t xml:space="preserve">                                       日期：</w:t>
      </w:r>
    </w:p>
    <w:p>
      <w:pPr>
        <w:widowControl/>
        <w:spacing w:line="360" w:lineRule="auto"/>
        <w:jc w:val="left"/>
        <w:rPr>
          <w:rFonts w:ascii="宋体" w:hAnsi="宋体"/>
          <w:szCs w:val="21"/>
        </w:rPr>
      </w:pPr>
    </w:p>
    <w:p>
      <w:pPr>
        <w:pStyle w:val="27"/>
        <w:rPr>
          <w:rFonts w:ascii="宋体" w:hAnsi="宋体"/>
          <w:szCs w:val="21"/>
        </w:rPr>
      </w:pPr>
    </w:p>
    <w:p>
      <w:pPr>
        <w:pStyle w:val="5"/>
        <w:rPr>
          <w:rFonts w:ascii="宋体" w:hAnsi="宋体"/>
          <w:szCs w:val="21"/>
        </w:rPr>
      </w:pPr>
    </w:p>
    <w:p>
      <w:pPr>
        <w:pStyle w:val="5"/>
        <w:rPr>
          <w:rFonts w:ascii="宋体" w:hAnsi="宋体"/>
          <w:szCs w:val="21"/>
        </w:rPr>
      </w:pPr>
    </w:p>
    <w:p>
      <w:pPr>
        <w:pStyle w:val="5"/>
        <w:rPr>
          <w:rFonts w:ascii="宋体" w:hAnsi="宋体"/>
          <w:szCs w:val="21"/>
        </w:rPr>
      </w:pPr>
    </w:p>
    <w:p>
      <w:pPr>
        <w:pStyle w:val="5"/>
        <w:rPr>
          <w:rFonts w:ascii="宋体" w:hAnsi="宋体"/>
          <w:szCs w:val="21"/>
        </w:rPr>
      </w:pPr>
    </w:p>
    <w:p>
      <w:pPr>
        <w:pStyle w:val="5"/>
        <w:rPr>
          <w:rFonts w:ascii="宋体" w:hAnsi="宋体"/>
          <w:szCs w:val="21"/>
        </w:rPr>
      </w:pPr>
    </w:p>
    <w:p>
      <w:pPr>
        <w:pStyle w:val="5"/>
        <w:rPr>
          <w:rFonts w:ascii="宋体" w:hAnsi="宋体"/>
          <w:szCs w:val="21"/>
        </w:rPr>
      </w:pPr>
    </w:p>
    <w:p>
      <w:pPr>
        <w:pStyle w:val="5"/>
        <w:rPr>
          <w:rFonts w:ascii="宋体" w:hAnsi="宋体"/>
          <w:szCs w:val="21"/>
        </w:rPr>
      </w:pPr>
    </w:p>
    <w:p>
      <w:pPr>
        <w:pStyle w:val="5"/>
        <w:rPr>
          <w:rFonts w:ascii="宋体" w:hAnsi="宋体"/>
          <w:szCs w:val="21"/>
        </w:rPr>
      </w:pPr>
    </w:p>
    <w:p>
      <w:pPr>
        <w:pStyle w:val="5"/>
        <w:rPr>
          <w:rFonts w:ascii="宋体" w:hAnsi="宋体"/>
          <w:szCs w:val="21"/>
        </w:rPr>
      </w:pPr>
    </w:p>
    <w:p>
      <w:pPr>
        <w:pStyle w:val="5"/>
        <w:rPr>
          <w:rFonts w:ascii="宋体" w:hAnsi="宋体"/>
          <w:szCs w:val="21"/>
        </w:rPr>
      </w:pPr>
    </w:p>
    <w:p>
      <w:pPr>
        <w:pStyle w:val="5"/>
        <w:rPr>
          <w:rFonts w:ascii="宋体" w:hAnsi="宋体"/>
          <w:szCs w:val="21"/>
        </w:rPr>
      </w:pPr>
    </w:p>
    <w:p>
      <w:pPr>
        <w:pStyle w:val="5"/>
        <w:rPr>
          <w:rFonts w:ascii="宋体" w:hAnsi="宋体"/>
          <w:szCs w:val="21"/>
        </w:rPr>
      </w:pPr>
    </w:p>
    <w:p>
      <w:pPr>
        <w:pStyle w:val="5"/>
        <w:rPr>
          <w:rFonts w:ascii="宋体" w:hAnsi="宋体"/>
          <w:szCs w:val="21"/>
        </w:rPr>
      </w:pPr>
    </w:p>
    <w:p>
      <w:pPr>
        <w:pStyle w:val="5"/>
        <w:rPr>
          <w:rFonts w:ascii="宋体" w:hAnsi="宋体"/>
          <w:szCs w:val="21"/>
        </w:rPr>
      </w:pPr>
    </w:p>
    <w:p>
      <w:pPr>
        <w:pStyle w:val="5"/>
        <w:rPr>
          <w:rFonts w:ascii="宋体" w:hAnsi="宋体"/>
          <w:szCs w:val="21"/>
        </w:rPr>
      </w:pPr>
    </w:p>
    <w:p>
      <w:pPr>
        <w:pStyle w:val="5"/>
        <w:rPr>
          <w:rFonts w:ascii="宋体" w:hAnsi="宋体"/>
          <w:szCs w:val="21"/>
        </w:rPr>
      </w:pPr>
    </w:p>
    <w:p>
      <w:pPr>
        <w:pStyle w:val="5"/>
        <w:rPr>
          <w:rFonts w:ascii="宋体" w:hAnsi="宋体"/>
          <w:szCs w:val="21"/>
        </w:rPr>
      </w:pPr>
    </w:p>
    <w:p>
      <w:pPr>
        <w:pStyle w:val="5"/>
        <w:rPr>
          <w:rFonts w:ascii="宋体" w:hAnsi="宋体"/>
          <w:szCs w:val="21"/>
        </w:rPr>
      </w:pPr>
    </w:p>
    <w:p>
      <w:pPr>
        <w:pStyle w:val="5"/>
        <w:rPr>
          <w:rFonts w:ascii="宋体" w:hAnsi="宋体"/>
          <w:szCs w:val="21"/>
        </w:rPr>
      </w:pPr>
    </w:p>
    <w:p>
      <w:pPr>
        <w:pStyle w:val="5"/>
        <w:rPr>
          <w:rFonts w:ascii="宋体" w:hAnsi="宋体"/>
          <w:szCs w:val="21"/>
        </w:rPr>
      </w:pPr>
    </w:p>
    <w:p>
      <w:pPr>
        <w:pStyle w:val="5"/>
        <w:rPr>
          <w:rFonts w:ascii="宋体" w:hAnsi="宋体"/>
          <w:szCs w:val="21"/>
        </w:rPr>
      </w:pPr>
    </w:p>
    <w:p>
      <w:pPr>
        <w:pStyle w:val="5"/>
        <w:rPr>
          <w:rFonts w:ascii="宋体" w:hAnsi="宋体"/>
          <w:szCs w:val="21"/>
        </w:rPr>
      </w:pPr>
    </w:p>
    <w:p>
      <w:pPr>
        <w:widowControl/>
        <w:spacing w:line="360" w:lineRule="auto"/>
        <w:jc w:val="left"/>
        <w:rPr>
          <w:rFonts w:ascii="宋体" w:hAnsi="宋体"/>
          <w:sz w:val="24"/>
        </w:rPr>
      </w:pPr>
      <w:r>
        <w:rPr>
          <w:rFonts w:hint="eastAsia" w:ascii="宋体" w:hAnsi="宋体"/>
          <w:b/>
          <w:bCs/>
          <w:szCs w:val="21"/>
        </w:rPr>
        <w:t>附件：</w:t>
      </w:r>
    </w:p>
    <w:p>
      <w:pPr>
        <w:spacing w:line="360" w:lineRule="auto"/>
        <w:ind w:firstLine="472" w:firstLineChars="196"/>
        <w:jc w:val="center"/>
        <w:rPr>
          <w:rFonts w:ascii="宋体" w:hAnsi="宋体"/>
          <w:b/>
          <w:bCs/>
          <w:sz w:val="24"/>
        </w:rPr>
      </w:pPr>
      <w:r>
        <w:rPr>
          <w:rFonts w:hint="eastAsia" w:ascii="宋体" w:hAnsi="宋体"/>
          <w:b/>
          <w:bCs/>
          <w:sz w:val="24"/>
        </w:rPr>
        <w:t>法定代表人身份证明书</w:t>
      </w:r>
    </w:p>
    <w:p>
      <w:pPr>
        <w:adjustRightInd w:val="0"/>
        <w:snapToGrid w:val="0"/>
        <w:spacing w:line="360" w:lineRule="auto"/>
        <w:ind w:firstLine="480" w:firstLineChars="200"/>
        <w:rPr>
          <w:sz w:val="24"/>
        </w:rPr>
      </w:pPr>
      <w:r>
        <w:rPr>
          <w:rFonts w:ascii="宋体" w:hAnsi="宋体"/>
          <w:sz w:val="24"/>
        </w:rPr>
        <w:t>供应商名称：</w:t>
      </w:r>
      <w:r>
        <w:rPr>
          <w:sz w:val="24"/>
          <w:u w:val="single"/>
        </w:rPr>
        <w:t xml:space="preserve">                              </w:t>
      </w:r>
    </w:p>
    <w:p>
      <w:pPr>
        <w:adjustRightInd w:val="0"/>
        <w:snapToGrid w:val="0"/>
        <w:spacing w:line="360" w:lineRule="auto"/>
        <w:ind w:firstLine="480" w:firstLineChars="200"/>
        <w:rPr>
          <w:sz w:val="24"/>
        </w:rPr>
      </w:pPr>
      <w:r>
        <w:rPr>
          <w:rFonts w:ascii="宋体" w:hAnsi="宋体"/>
          <w:sz w:val="24"/>
        </w:rPr>
        <w:t>单位性质：</w:t>
      </w:r>
      <w:r>
        <w:rPr>
          <w:sz w:val="24"/>
          <w:u w:val="single"/>
        </w:rPr>
        <w:t xml:space="preserve">                                </w:t>
      </w:r>
    </w:p>
    <w:p>
      <w:pPr>
        <w:adjustRightInd w:val="0"/>
        <w:snapToGrid w:val="0"/>
        <w:spacing w:line="360" w:lineRule="auto"/>
        <w:ind w:firstLine="480" w:firstLineChars="200"/>
        <w:rPr>
          <w:sz w:val="24"/>
        </w:rPr>
      </w:pPr>
      <w:r>
        <w:rPr>
          <w:rFonts w:ascii="宋体" w:hAnsi="宋体"/>
          <w:sz w:val="24"/>
        </w:rPr>
        <w:t>地址：</w:t>
      </w:r>
      <w:r>
        <w:rPr>
          <w:sz w:val="24"/>
          <w:u w:val="single"/>
        </w:rPr>
        <w:t xml:space="preserve">                                    </w:t>
      </w:r>
    </w:p>
    <w:p>
      <w:pPr>
        <w:adjustRightInd w:val="0"/>
        <w:snapToGrid w:val="0"/>
        <w:spacing w:line="360" w:lineRule="auto"/>
        <w:ind w:firstLine="480" w:firstLineChars="200"/>
        <w:rPr>
          <w:sz w:val="24"/>
        </w:rPr>
      </w:pPr>
      <w:r>
        <w:rPr>
          <w:rFonts w:ascii="宋体" w:hAnsi="宋体"/>
          <w:sz w:val="24"/>
        </w:rPr>
        <w:t>成立时间：</w:t>
      </w:r>
      <w:r>
        <w:rPr>
          <w:sz w:val="24"/>
          <w:u w:val="single"/>
        </w:rPr>
        <w:t xml:space="preserve">       </w:t>
      </w:r>
      <w:r>
        <w:rPr>
          <w:rFonts w:ascii="宋体" w:hAnsi="宋体"/>
          <w:sz w:val="24"/>
        </w:rPr>
        <w:t>年</w:t>
      </w:r>
      <w:r>
        <w:rPr>
          <w:sz w:val="24"/>
          <w:u w:val="single"/>
        </w:rPr>
        <w:t xml:space="preserve">      </w:t>
      </w:r>
      <w:r>
        <w:rPr>
          <w:rFonts w:ascii="宋体" w:hAnsi="宋体"/>
          <w:sz w:val="24"/>
        </w:rPr>
        <w:t>月</w:t>
      </w:r>
      <w:r>
        <w:rPr>
          <w:sz w:val="24"/>
          <w:u w:val="single"/>
        </w:rPr>
        <w:t xml:space="preserve">       </w:t>
      </w:r>
      <w:r>
        <w:rPr>
          <w:rFonts w:ascii="宋体" w:hAnsi="宋体"/>
          <w:sz w:val="24"/>
        </w:rPr>
        <w:t>日</w:t>
      </w:r>
    </w:p>
    <w:p>
      <w:pPr>
        <w:adjustRightInd w:val="0"/>
        <w:snapToGrid w:val="0"/>
        <w:spacing w:line="360" w:lineRule="auto"/>
        <w:ind w:firstLine="480" w:firstLineChars="200"/>
        <w:rPr>
          <w:sz w:val="24"/>
        </w:rPr>
      </w:pPr>
      <w:r>
        <w:rPr>
          <w:rFonts w:ascii="宋体" w:hAnsi="宋体"/>
          <w:sz w:val="24"/>
        </w:rPr>
        <w:t>经营期限：</w:t>
      </w:r>
      <w:r>
        <w:rPr>
          <w:sz w:val="24"/>
          <w:u w:val="single"/>
        </w:rPr>
        <w:t xml:space="preserve">          </w:t>
      </w:r>
    </w:p>
    <w:p>
      <w:pPr>
        <w:adjustRightInd w:val="0"/>
        <w:snapToGrid w:val="0"/>
        <w:spacing w:line="360" w:lineRule="auto"/>
        <w:ind w:firstLine="480" w:firstLineChars="200"/>
        <w:rPr>
          <w:sz w:val="24"/>
        </w:rPr>
      </w:pPr>
      <w:r>
        <w:rPr>
          <w:rFonts w:ascii="宋体" w:hAnsi="宋体"/>
          <w:sz w:val="24"/>
        </w:rPr>
        <w:t>姓名：</w:t>
      </w:r>
      <w:r>
        <w:rPr>
          <w:sz w:val="24"/>
          <w:u w:val="single"/>
        </w:rPr>
        <w:t xml:space="preserve">             </w:t>
      </w:r>
      <w:r>
        <w:rPr>
          <w:rFonts w:ascii="宋体" w:hAnsi="宋体"/>
          <w:sz w:val="24"/>
        </w:rPr>
        <w:t>性别：</w:t>
      </w:r>
      <w:r>
        <w:rPr>
          <w:sz w:val="24"/>
          <w:u w:val="single"/>
        </w:rPr>
        <w:t xml:space="preserve">         </w:t>
      </w:r>
      <w:r>
        <w:rPr>
          <w:rFonts w:ascii="宋体" w:hAnsi="宋体"/>
          <w:sz w:val="24"/>
        </w:rPr>
        <w:t>年龄：</w:t>
      </w:r>
      <w:r>
        <w:rPr>
          <w:sz w:val="24"/>
          <w:u w:val="single"/>
        </w:rPr>
        <w:t xml:space="preserve">          </w:t>
      </w:r>
      <w:r>
        <w:rPr>
          <w:rFonts w:ascii="宋体" w:hAnsi="宋体"/>
          <w:sz w:val="24"/>
        </w:rPr>
        <w:t>职务：</w:t>
      </w:r>
      <w:r>
        <w:rPr>
          <w:sz w:val="24"/>
          <w:u w:val="single"/>
        </w:rPr>
        <w:t xml:space="preserve">            </w:t>
      </w:r>
    </w:p>
    <w:p>
      <w:pPr>
        <w:adjustRightInd w:val="0"/>
        <w:snapToGrid w:val="0"/>
        <w:spacing w:line="360" w:lineRule="auto"/>
        <w:ind w:firstLine="480" w:firstLineChars="200"/>
        <w:rPr>
          <w:sz w:val="24"/>
        </w:rPr>
      </w:pPr>
      <w:r>
        <w:rPr>
          <w:rFonts w:ascii="宋体" w:hAnsi="宋体"/>
          <w:sz w:val="24"/>
        </w:rPr>
        <w:t>系</w:t>
      </w:r>
      <w:r>
        <w:rPr>
          <w:sz w:val="24"/>
          <w:u w:val="single"/>
        </w:rPr>
        <w:t xml:space="preserve">                          </w:t>
      </w:r>
      <w:r>
        <w:rPr>
          <w:rFonts w:ascii="宋体" w:hAnsi="宋体"/>
          <w:sz w:val="24"/>
        </w:rPr>
        <w:t>（供应商名称）的法定代表人。</w:t>
      </w:r>
    </w:p>
    <w:p>
      <w:pPr>
        <w:adjustRightInd w:val="0"/>
        <w:snapToGrid w:val="0"/>
        <w:spacing w:line="360" w:lineRule="auto"/>
        <w:ind w:firstLine="470" w:firstLineChars="196"/>
        <w:rPr>
          <w:rFonts w:hAnsi="宋体"/>
          <w:sz w:val="24"/>
        </w:rPr>
      </w:pPr>
      <w:r>
        <w:rPr>
          <w:rFonts w:hint="eastAsia" w:ascii="宋体" w:hAnsi="宋体"/>
          <w:sz w:val="24"/>
        </w:rPr>
        <w:t>联系方式（移动电话）：</w:t>
      </w:r>
      <w:r>
        <w:rPr>
          <w:rFonts w:hint="eastAsia" w:hAnsi="宋体"/>
          <w:b/>
          <w:sz w:val="24"/>
          <w:u w:val="single"/>
        </w:rPr>
        <w:t xml:space="preserve">（须保持畅通，否则由此引起的一切后果供应商自行承担）   </w:t>
      </w:r>
      <w:r>
        <w:rPr>
          <w:rFonts w:hint="eastAsia" w:hAnsi="宋体"/>
          <w:sz w:val="24"/>
          <w:u w:val="single"/>
        </w:rPr>
        <w:t xml:space="preserve">      </w:t>
      </w:r>
      <w:r>
        <w:rPr>
          <w:rFonts w:hint="eastAsia" w:hAnsi="宋体"/>
          <w:sz w:val="24"/>
        </w:rPr>
        <w:t xml:space="preserve">            </w:t>
      </w:r>
    </w:p>
    <w:p>
      <w:pPr>
        <w:adjustRightInd w:val="0"/>
        <w:snapToGrid w:val="0"/>
        <w:spacing w:line="360" w:lineRule="auto"/>
        <w:ind w:firstLine="470" w:firstLineChars="196"/>
        <w:rPr>
          <w:rFonts w:hAnsi="宋体"/>
          <w:sz w:val="24"/>
        </w:rPr>
      </w:pPr>
      <w:r>
        <w:rPr>
          <w:rFonts w:hint="eastAsia" w:ascii="宋体" w:hAnsi="宋体"/>
          <w:sz w:val="24"/>
        </w:rPr>
        <w:t>电子邮箱：</w:t>
      </w:r>
      <w:r>
        <w:rPr>
          <w:rFonts w:hint="eastAsia" w:hAnsi="宋体"/>
          <w:sz w:val="24"/>
          <w:u w:val="single"/>
        </w:rPr>
        <w:t xml:space="preserve">                                                             </w:t>
      </w:r>
      <w:r>
        <w:rPr>
          <w:rFonts w:hint="eastAsia" w:hAnsi="宋体"/>
          <w:sz w:val="24"/>
        </w:rPr>
        <w:t xml:space="preserve">                </w:t>
      </w:r>
    </w:p>
    <w:p>
      <w:pPr>
        <w:adjustRightInd w:val="0"/>
        <w:snapToGrid w:val="0"/>
        <w:spacing w:line="360" w:lineRule="auto"/>
        <w:ind w:firstLine="470" w:firstLineChars="196"/>
        <w:rPr>
          <w:rFonts w:hAnsi="宋体"/>
          <w:sz w:val="24"/>
        </w:rPr>
      </w:pPr>
      <w:r>
        <w:rPr>
          <w:rFonts w:ascii="宋体" w:hAnsi="宋体"/>
          <w:sz w:val="24"/>
        </w:rPr>
        <w:t>特此证明。</w:t>
      </w:r>
    </w:p>
    <w:p>
      <w:pPr>
        <w:adjustRightInd w:val="0"/>
        <w:snapToGrid w:val="0"/>
        <w:spacing w:line="360" w:lineRule="auto"/>
        <w:ind w:firstLine="4728" w:firstLineChars="1970"/>
        <w:jc w:val="left"/>
        <w:rPr>
          <w:sz w:val="24"/>
        </w:rPr>
      </w:pPr>
      <w:r>
        <w:rPr>
          <w:rFonts w:ascii="宋体" w:hAnsi="宋体"/>
          <w:sz w:val="24"/>
        </w:rPr>
        <w:t>供应商：</w:t>
      </w:r>
      <w:r>
        <w:rPr>
          <w:sz w:val="24"/>
          <w:u w:val="single"/>
        </w:rPr>
        <w:t xml:space="preserve">     </w:t>
      </w:r>
      <w:r>
        <w:rPr>
          <w:rFonts w:hint="eastAsia"/>
          <w:sz w:val="24"/>
          <w:u w:val="single"/>
        </w:rPr>
        <w:t xml:space="preserve">               </w:t>
      </w:r>
      <w:r>
        <w:rPr>
          <w:sz w:val="24"/>
          <w:u w:val="single"/>
        </w:rPr>
        <w:t xml:space="preserve">  </w:t>
      </w:r>
      <w:r>
        <w:rPr>
          <w:rFonts w:ascii="宋体" w:hAnsi="宋体"/>
          <w:sz w:val="24"/>
        </w:rPr>
        <w:t>（</w:t>
      </w:r>
      <w:r>
        <w:rPr>
          <w:rFonts w:hint="eastAsia" w:ascii="宋体" w:hAnsi="宋体"/>
          <w:sz w:val="24"/>
        </w:rPr>
        <w:t>盖</w:t>
      </w:r>
      <w:r>
        <w:rPr>
          <w:rFonts w:ascii="宋体" w:hAnsi="宋体"/>
          <w:sz w:val="24"/>
        </w:rPr>
        <w:t>章）</w:t>
      </w:r>
    </w:p>
    <w:p>
      <w:pPr>
        <w:adjustRightInd w:val="0"/>
        <w:snapToGrid w:val="0"/>
        <w:spacing w:line="360" w:lineRule="auto"/>
        <w:ind w:right="360" w:firstLine="5544" w:firstLineChars="2310"/>
        <w:jc w:val="left"/>
        <w:rPr>
          <w:rFonts w:ascii="宋体" w:hAnsi="宋体"/>
          <w:sz w:val="24"/>
        </w:rPr>
      </w:pPr>
      <w:r>
        <w:rPr>
          <w:sz w:val="24"/>
          <w:u w:val="single"/>
        </w:rPr>
        <w:t xml:space="preserve">       </w:t>
      </w:r>
      <w:r>
        <w:rPr>
          <w:rFonts w:ascii="宋体" w:hAnsi="宋体"/>
          <w:sz w:val="24"/>
        </w:rPr>
        <w:t>年</w:t>
      </w:r>
      <w:r>
        <w:rPr>
          <w:sz w:val="24"/>
          <w:u w:val="single"/>
        </w:rPr>
        <w:t xml:space="preserve">      </w:t>
      </w:r>
      <w:r>
        <w:rPr>
          <w:rFonts w:ascii="宋体" w:hAnsi="宋体"/>
          <w:sz w:val="24"/>
        </w:rPr>
        <w:t>月</w:t>
      </w:r>
      <w:r>
        <w:rPr>
          <w:sz w:val="24"/>
          <w:u w:val="single"/>
        </w:rPr>
        <w:t xml:space="preserve">      </w:t>
      </w:r>
      <w:r>
        <w:rPr>
          <w:rFonts w:ascii="宋体" w:hAnsi="宋体"/>
          <w:sz w:val="24"/>
        </w:rPr>
        <w:t>日</w:t>
      </w:r>
    </w:p>
    <w:p>
      <w:pPr>
        <w:adjustRightInd w:val="0"/>
        <w:snapToGrid w:val="0"/>
        <w:spacing w:line="360" w:lineRule="auto"/>
        <w:ind w:right="360" w:firstLine="5544" w:firstLineChars="2310"/>
        <w:jc w:val="left"/>
        <w:rPr>
          <w:rFonts w:ascii="宋体" w:hAnsi="宋体"/>
          <w:sz w:val="24"/>
        </w:rPr>
      </w:pPr>
    </w:p>
    <w:p>
      <w:pPr>
        <w:adjustRightInd w:val="0"/>
        <w:snapToGrid w:val="0"/>
        <w:spacing w:line="360" w:lineRule="auto"/>
        <w:ind w:right="360" w:firstLine="5544" w:firstLineChars="2310"/>
        <w:jc w:val="left"/>
        <w:rPr>
          <w:rFonts w:ascii="宋体" w:hAnsi="宋体"/>
          <w:sz w:val="24"/>
        </w:rPr>
      </w:pPr>
    </w:p>
    <w:p>
      <w:pPr>
        <w:adjustRightInd w:val="0"/>
        <w:snapToGrid w:val="0"/>
        <w:spacing w:line="360" w:lineRule="auto"/>
        <w:ind w:right="360" w:firstLine="5544" w:firstLineChars="2310"/>
        <w:jc w:val="left"/>
        <w:rPr>
          <w:rFonts w:ascii="宋体" w:hAnsi="宋体"/>
          <w:sz w:val="24"/>
        </w:rPr>
      </w:pPr>
    </w:p>
    <w:p>
      <w:pPr>
        <w:adjustRightInd w:val="0"/>
        <w:snapToGrid w:val="0"/>
        <w:spacing w:line="360" w:lineRule="auto"/>
        <w:ind w:right="360" w:firstLine="5544" w:firstLineChars="2310"/>
        <w:jc w:val="left"/>
        <w:rPr>
          <w:rFonts w:ascii="宋体" w:hAnsi="宋体"/>
          <w:sz w:val="24"/>
        </w:rPr>
      </w:pPr>
    </w:p>
    <w:p>
      <w:pPr>
        <w:adjustRightInd w:val="0"/>
        <w:snapToGrid w:val="0"/>
        <w:spacing w:line="360" w:lineRule="auto"/>
        <w:ind w:right="360" w:firstLine="5544" w:firstLineChars="2310"/>
        <w:jc w:val="left"/>
        <w:rPr>
          <w:rFonts w:ascii="宋体" w:hAnsi="宋体"/>
          <w:sz w:val="24"/>
        </w:rPr>
      </w:pPr>
    </w:p>
    <w:p>
      <w:pPr>
        <w:adjustRightInd w:val="0"/>
        <w:snapToGrid w:val="0"/>
        <w:spacing w:line="360" w:lineRule="auto"/>
        <w:ind w:right="360" w:firstLine="5544" w:firstLineChars="2310"/>
        <w:jc w:val="left"/>
        <w:rPr>
          <w:rFonts w:ascii="宋体" w:hAnsi="宋体"/>
          <w:sz w:val="24"/>
        </w:rPr>
      </w:pPr>
    </w:p>
    <w:p>
      <w:pPr>
        <w:adjustRightInd w:val="0"/>
        <w:snapToGrid w:val="0"/>
        <w:spacing w:line="360" w:lineRule="auto"/>
        <w:ind w:right="360" w:firstLine="5544" w:firstLineChars="2310"/>
        <w:jc w:val="left"/>
        <w:rPr>
          <w:rFonts w:ascii="宋体" w:hAnsi="宋体"/>
          <w:sz w:val="24"/>
        </w:rPr>
      </w:pPr>
    </w:p>
    <w:p>
      <w:pPr>
        <w:adjustRightInd w:val="0"/>
        <w:snapToGrid w:val="0"/>
        <w:spacing w:line="360" w:lineRule="auto"/>
        <w:ind w:right="360" w:firstLine="5544" w:firstLineChars="2310"/>
        <w:jc w:val="left"/>
        <w:rPr>
          <w:rFonts w:ascii="宋体" w:hAnsi="宋体"/>
          <w:sz w:val="24"/>
        </w:rPr>
      </w:pPr>
    </w:p>
    <w:p>
      <w:pPr>
        <w:adjustRightInd w:val="0"/>
        <w:snapToGrid w:val="0"/>
        <w:spacing w:line="360" w:lineRule="auto"/>
        <w:ind w:right="360" w:firstLine="5544" w:firstLineChars="2310"/>
        <w:jc w:val="left"/>
        <w:rPr>
          <w:rFonts w:ascii="宋体" w:hAnsi="宋体"/>
          <w:sz w:val="24"/>
        </w:rPr>
      </w:pPr>
    </w:p>
    <w:p>
      <w:pPr>
        <w:adjustRightInd w:val="0"/>
        <w:snapToGrid w:val="0"/>
        <w:spacing w:line="360" w:lineRule="auto"/>
        <w:ind w:right="360" w:firstLine="5544" w:firstLineChars="2310"/>
        <w:jc w:val="left"/>
        <w:rPr>
          <w:rFonts w:ascii="宋体" w:hAnsi="宋体"/>
          <w:sz w:val="24"/>
        </w:rPr>
      </w:pPr>
    </w:p>
    <w:p>
      <w:pPr>
        <w:adjustRightInd w:val="0"/>
        <w:snapToGrid w:val="0"/>
        <w:spacing w:line="360" w:lineRule="auto"/>
        <w:ind w:right="360" w:firstLine="5544" w:firstLineChars="2310"/>
        <w:jc w:val="left"/>
        <w:rPr>
          <w:rFonts w:ascii="宋体" w:hAnsi="宋体"/>
          <w:sz w:val="24"/>
        </w:rPr>
      </w:pPr>
    </w:p>
    <w:p>
      <w:pPr>
        <w:pStyle w:val="27"/>
        <w:rPr>
          <w:rFonts w:ascii="宋体" w:hAnsi="宋体"/>
          <w:sz w:val="24"/>
        </w:rPr>
      </w:pPr>
    </w:p>
    <w:p>
      <w:pPr>
        <w:pStyle w:val="5"/>
        <w:rPr>
          <w:rFonts w:ascii="宋体" w:hAnsi="宋体"/>
          <w:sz w:val="24"/>
        </w:rPr>
      </w:pPr>
    </w:p>
    <w:p>
      <w:pPr>
        <w:pStyle w:val="5"/>
        <w:rPr>
          <w:rFonts w:ascii="宋体" w:hAnsi="宋体"/>
          <w:sz w:val="24"/>
        </w:rPr>
      </w:pPr>
    </w:p>
    <w:p>
      <w:pPr>
        <w:pStyle w:val="5"/>
        <w:rPr>
          <w:rFonts w:ascii="宋体" w:hAnsi="宋体"/>
          <w:sz w:val="24"/>
        </w:rPr>
      </w:pPr>
    </w:p>
    <w:p>
      <w:pPr>
        <w:pStyle w:val="5"/>
        <w:rPr>
          <w:rFonts w:ascii="宋体" w:hAnsi="宋体"/>
          <w:sz w:val="24"/>
        </w:rPr>
      </w:pPr>
    </w:p>
    <w:p>
      <w:pPr>
        <w:pStyle w:val="5"/>
        <w:rPr>
          <w:rFonts w:ascii="宋体" w:hAnsi="宋体"/>
          <w:sz w:val="24"/>
        </w:rPr>
      </w:pPr>
    </w:p>
    <w:p>
      <w:pPr>
        <w:pStyle w:val="5"/>
        <w:rPr>
          <w:rFonts w:ascii="宋体" w:hAnsi="宋体"/>
          <w:sz w:val="24"/>
        </w:rPr>
      </w:pPr>
    </w:p>
    <w:p>
      <w:pPr>
        <w:pStyle w:val="5"/>
        <w:rPr>
          <w:rFonts w:ascii="宋体" w:hAnsi="宋体"/>
          <w:sz w:val="24"/>
        </w:rPr>
      </w:pPr>
    </w:p>
    <w:p>
      <w:pPr>
        <w:pStyle w:val="5"/>
        <w:rPr>
          <w:rFonts w:ascii="宋体" w:hAnsi="宋体"/>
          <w:sz w:val="24"/>
        </w:rPr>
      </w:pPr>
    </w:p>
    <w:p>
      <w:pPr>
        <w:spacing w:line="360" w:lineRule="auto"/>
        <w:jc w:val="center"/>
        <w:rPr>
          <w:rFonts w:hint="eastAsia" w:ascii="宋体" w:hAnsi="宋体"/>
          <w:b/>
          <w:bCs/>
          <w:sz w:val="24"/>
        </w:rPr>
      </w:pPr>
    </w:p>
    <w:p>
      <w:pPr>
        <w:spacing w:line="360" w:lineRule="auto"/>
        <w:jc w:val="center"/>
        <w:rPr>
          <w:rFonts w:ascii="宋体" w:hAnsi="宋体"/>
          <w:b/>
          <w:bCs/>
          <w:sz w:val="24"/>
        </w:rPr>
      </w:pPr>
      <w:r>
        <w:rPr>
          <w:rFonts w:hint="eastAsia" w:ascii="宋体" w:hAnsi="宋体"/>
          <w:b/>
          <w:bCs/>
          <w:sz w:val="24"/>
        </w:rPr>
        <w:t>法定代表人授权委托书（如果有）</w:t>
      </w:r>
    </w:p>
    <w:p>
      <w:pPr>
        <w:spacing w:line="360" w:lineRule="auto"/>
        <w:ind w:firstLine="480" w:firstLineChars="200"/>
        <w:rPr>
          <w:rFonts w:ascii="宋体" w:hAnsi="宋体"/>
          <w:sz w:val="24"/>
        </w:rPr>
      </w:pPr>
      <w:r>
        <w:rPr>
          <w:rFonts w:hint="eastAsia" w:ascii="宋体" w:hAnsi="宋体"/>
          <w:sz w:val="24"/>
        </w:rPr>
        <w:t>本人</w:t>
      </w:r>
      <w:r>
        <w:rPr>
          <w:rFonts w:hint="eastAsia" w:ascii="宋体" w:hAnsi="宋体"/>
          <w:sz w:val="24"/>
          <w:u w:val="single"/>
        </w:rPr>
        <w:t xml:space="preserve">         </w:t>
      </w:r>
      <w:r>
        <w:rPr>
          <w:rFonts w:hint="eastAsia" w:ascii="宋体" w:hAnsi="宋体"/>
          <w:sz w:val="24"/>
        </w:rPr>
        <w:t>（姓名）系</w:t>
      </w:r>
      <w:r>
        <w:rPr>
          <w:rFonts w:hint="eastAsia" w:ascii="宋体" w:hAnsi="宋体"/>
          <w:sz w:val="24"/>
          <w:u w:val="single"/>
        </w:rPr>
        <w:t xml:space="preserve">            </w:t>
      </w:r>
      <w:r>
        <w:rPr>
          <w:rFonts w:hint="eastAsia" w:ascii="宋体" w:hAnsi="宋体"/>
          <w:sz w:val="24"/>
        </w:rPr>
        <w:t>（供应商名称）的法定代表人，现委托</w:t>
      </w:r>
      <w:r>
        <w:rPr>
          <w:rFonts w:hint="eastAsia" w:ascii="宋体" w:hAnsi="宋体"/>
          <w:sz w:val="24"/>
          <w:u w:val="single"/>
        </w:rPr>
        <w:t xml:space="preserve">        </w:t>
      </w:r>
      <w:r>
        <w:rPr>
          <w:rFonts w:hint="eastAsia" w:ascii="宋体" w:hAnsi="宋体"/>
          <w:sz w:val="24"/>
        </w:rPr>
        <w:t>（姓名）为我方委托代理人。委托代理人根据授权，以我方名义处理</w:t>
      </w:r>
      <w:r>
        <w:rPr>
          <w:rFonts w:hint="eastAsia" w:ascii="宋体" w:hAnsi="宋体"/>
          <w:sz w:val="24"/>
          <w:u w:val="single"/>
        </w:rPr>
        <w:t xml:space="preserve">                           </w:t>
      </w:r>
      <w:r>
        <w:rPr>
          <w:rFonts w:hint="eastAsia" w:ascii="宋体" w:hAnsi="宋体"/>
          <w:sz w:val="24"/>
        </w:rPr>
        <w:t>（项目名称）的投标一切事宜，其法律后果由我方承担。</w:t>
      </w:r>
    </w:p>
    <w:p>
      <w:pPr>
        <w:spacing w:line="360" w:lineRule="auto"/>
        <w:ind w:firstLine="480" w:firstLineChars="200"/>
        <w:rPr>
          <w:rFonts w:ascii="宋体" w:hAnsi="宋体"/>
          <w:sz w:val="24"/>
        </w:rPr>
      </w:pPr>
      <w:r>
        <w:rPr>
          <w:rFonts w:hint="eastAsia" w:ascii="宋体" w:hAnsi="宋体"/>
          <w:sz w:val="24"/>
        </w:rPr>
        <w:t>委托期限：</w:t>
      </w:r>
      <w:r>
        <w:rPr>
          <w:rFonts w:hint="eastAsia" w:ascii="宋体" w:hAnsi="宋体"/>
          <w:sz w:val="24"/>
          <w:u w:val="single"/>
        </w:rPr>
        <w:t xml:space="preserve">                </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委托代理人无转委托权，特此委托。</w:t>
      </w:r>
    </w:p>
    <w:p>
      <w:pPr>
        <w:pStyle w:val="27"/>
      </w:pPr>
    </w:p>
    <w:p>
      <w:pPr>
        <w:pStyle w:val="27"/>
      </w:pPr>
    </w:p>
    <w:p>
      <w:pPr>
        <w:pStyle w:val="27"/>
      </w:pPr>
    </w:p>
    <w:p>
      <w:pPr>
        <w:pStyle w:val="27"/>
      </w:pPr>
    </w:p>
    <w:p>
      <w:pPr>
        <w:spacing w:line="360" w:lineRule="auto"/>
        <w:ind w:firstLine="480" w:firstLineChars="200"/>
        <w:rPr>
          <w:rFonts w:ascii="宋体" w:hAnsi="宋体"/>
          <w:sz w:val="24"/>
          <w:u w:val="single"/>
        </w:rPr>
      </w:pPr>
      <w:r>
        <w:rPr>
          <w:rFonts w:hint="eastAsia" w:ascii="宋体" w:hAnsi="宋体"/>
          <w:sz w:val="24"/>
        </w:rPr>
        <w:t>授权委托人：</w:t>
      </w:r>
      <w:r>
        <w:rPr>
          <w:rFonts w:hint="eastAsia" w:ascii="宋体" w:hAnsi="宋体"/>
          <w:sz w:val="24"/>
          <w:u w:val="single"/>
        </w:rPr>
        <w:t xml:space="preserve">              </w:t>
      </w:r>
      <w:r>
        <w:rPr>
          <w:rFonts w:hint="eastAsia" w:ascii="宋体" w:hAnsi="宋体"/>
          <w:sz w:val="24"/>
        </w:rPr>
        <w:t>性别 ：</w:t>
      </w:r>
      <w:r>
        <w:rPr>
          <w:rFonts w:hint="eastAsia" w:ascii="宋体" w:hAnsi="宋体"/>
          <w:sz w:val="24"/>
          <w:u w:val="single"/>
        </w:rPr>
        <w:t xml:space="preserve">            </w:t>
      </w:r>
      <w:r>
        <w:rPr>
          <w:rFonts w:hint="eastAsia" w:ascii="宋体" w:hAnsi="宋体"/>
          <w:sz w:val="24"/>
        </w:rPr>
        <w:t>年龄：_______</w:t>
      </w:r>
    </w:p>
    <w:p>
      <w:pPr>
        <w:spacing w:line="360" w:lineRule="auto"/>
        <w:ind w:firstLine="480" w:firstLineChars="200"/>
        <w:rPr>
          <w:rFonts w:ascii="宋体" w:hAnsi="宋体"/>
          <w:sz w:val="24"/>
          <w:u w:val="single"/>
        </w:rPr>
      </w:pPr>
      <w:r>
        <w:rPr>
          <w:rFonts w:hint="eastAsia" w:ascii="宋体" w:hAnsi="宋体"/>
          <w:sz w:val="24"/>
        </w:rPr>
        <w:t>身份证号码：</w:t>
      </w:r>
      <w:r>
        <w:rPr>
          <w:rFonts w:hint="eastAsia" w:ascii="宋体" w:hAnsi="宋体"/>
          <w:sz w:val="24"/>
          <w:u w:val="single"/>
        </w:rPr>
        <w:t xml:space="preserve">                         </w:t>
      </w:r>
      <w:r>
        <w:rPr>
          <w:rFonts w:hint="eastAsia" w:ascii="宋体" w:hAnsi="宋体"/>
          <w:sz w:val="24"/>
        </w:rPr>
        <w:t>职务：</w:t>
      </w:r>
      <w:r>
        <w:rPr>
          <w:rFonts w:hint="eastAsia" w:ascii="宋体" w:hAnsi="宋体"/>
          <w:sz w:val="24"/>
          <w:u w:val="single"/>
        </w:rPr>
        <w:t xml:space="preserve">               </w:t>
      </w:r>
    </w:p>
    <w:p>
      <w:pPr>
        <w:spacing w:line="360" w:lineRule="auto"/>
        <w:ind w:firstLine="480" w:firstLineChars="200"/>
        <w:rPr>
          <w:rFonts w:ascii="宋体" w:hAnsi="宋体"/>
          <w:sz w:val="24"/>
        </w:rPr>
      </w:pPr>
      <w:r>
        <w:rPr>
          <w:rFonts w:hint="eastAsia" w:ascii="宋体" w:hAnsi="宋体"/>
          <w:sz w:val="24"/>
        </w:rPr>
        <w:t>联系方式（移动电话）：</w:t>
      </w:r>
      <w:r>
        <w:rPr>
          <w:rFonts w:hint="eastAsia" w:ascii="宋体" w:hAnsi="宋体"/>
          <w:b/>
          <w:sz w:val="24"/>
          <w:u w:val="single"/>
        </w:rPr>
        <w:t xml:space="preserve">（须保持畅通，否则由此引起的一切后果供应商自行承担）  </w:t>
      </w:r>
      <w:r>
        <w:rPr>
          <w:rFonts w:hint="eastAsia" w:ascii="宋体" w:hAnsi="宋体"/>
          <w:sz w:val="24"/>
          <w:u w:val="single"/>
        </w:rPr>
        <w:t xml:space="preserve">                </w:t>
      </w:r>
      <w:r>
        <w:rPr>
          <w:rFonts w:hint="eastAsia" w:ascii="宋体" w:hAnsi="宋体"/>
          <w:sz w:val="24"/>
        </w:rPr>
        <w:t xml:space="preserve">           </w:t>
      </w:r>
    </w:p>
    <w:p>
      <w:pPr>
        <w:spacing w:line="360" w:lineRule="auto"/>
        <w:ind w:firstLine="480" w:firstLineChars="200"/>
        <w:rPr>
          <w:rFonts w:ascii="宋体" w:hAnsi="宋体"/>
          <w:sz w:val="24"/>
        </w:rPr>
      </w:pPr>
      <w:r>
        <w:rPr>
          <w:rFonts w:hint="eastAsia" w:ascii="宋体" w:hAnsi="宋体"/>
          <w:sz w:val="24"/>
        </w:rPr>
        <w:t>电子邮箱：</w:t>
      </w:r>
      <w:r>
        <w:rPr>
          <w:rFonts w:hint="eastAsia" w:ascii="宋体" w:hAnsi="宋体"/>
          <w:sz w:val="24"/>
          <w:u w:val="single"/>
        </w:rPr>
        <w:t xml:space="preserve">                 </w:t>
      </w:r>
      <w:r>
        <w:rPr>
          <w:rFonts w:hint="eastAsia" w:ascii="宋体" w:hAnsi="宋体"/>
          <w:sz w:val="24"/>
        </w:rPr>
        <w:t xml:space="preserve">             </w:t>
      </w:r>
    </w:p>
    <w:p>
      <w:pPr>
        <w:spacing w:line="360" w:lineRule="auto"/>
        <w:ind w:firstLine="480" w:firstLineChars="200"/>
        <w:rPr>
          <w:rFonts w:ascii="宋体" w:hAnsi="宋体"/>
          <w:sz w:val="24"/>
        </w:rPr>
      </w:pPr>
      <w:r>
        <w:rPr>
          <w:rFonts w:hint="eastAsia" w:ascii="宋体" w:hAnsi="宋体"/>
          <w:sz w:val="24"/>
        </w:rPr>
        <w:t>供应商：</w:t>
      </w:r>
      <w:r>
        <w:rPr>
          <w:rFonts w:hint="eastAsia" w:ascii="宋体" w:hAnsi="宋体"/>
          <w:sz w:val="24"/>
          <w:u w:val="single"/>
        </w:rPr>
        <w:t xml:space="preserve">                                          （盖章）</w:t>
      </w:r>
    </w:p>
    <w:p>
      <w:pPr>
        <w:spacing w:line="360" w:lineRule="auto"/>
        <w:ind w:firstLine="480" w:firstLineChars="200"/>
        <w:rPr>
          <w:rFonts w:ascii="宋体" w:hAnsi="宋体"/>
          <w:sz w:val="24"/>
        </w:rPr>
      </w:pPr>
      <w:r>
        <w:rPr>
          <w:rFonts w:hint="eastAsia" w:ascii="宋体" w:hAnsi="宋体"/>
          <w:sz w:val="24"/>
        </w:rPr>
        <w:t>法定代表人：</w:t>
      </w:r>
      <w:r>
        <w:rPr>
          <w:rFonts w:hint="eastAsia" w:ascii="宋体" w:hAnsi="宋体"/>
          <w:sz w:val="24"/>
          <w:u w:val="single"/>
        </w:rPr>
        <w:t xml:space="preserve">                                      （盖章）</w:t>
      </w:r>
    </w:p>
    <w:p>
      <w:pPr>
        <w:spacing w:line="360" w:lineRule="auto"/>
        <w:ind w:right="480" w:firstLine="480" w:firstLineChars="200"/>
        <w:rPr>
          <w:rFonts w:ascii="宋体" w:hAnsi="宋体"/>
          <w:sz w:val="24"/>
        </w:rPr>
      </w:pPr>
      <w:r>
        <w:rPr>
          <w:rFonts w:hint="eastAsia" w:ascii="宋体" w:hAnsi="宋体"/>
          <w:sz w:val="24"/>
        </w:rPr>
        <w:t>授权委托日期：</w:t>
      </w:r>
      <w:r>
        <w:rPr>
          <w:rFonts w:hint="eastAsia" w:ascii="宋体" w:hAnsi="宋体"/>
          <w:sz w:val="24"/>
          <w:u w:val="single"/>
        </w:rPr>
        <w:t xml:space="preserve">     </w:t>
      </w:r>
      <w:r>
        <w:rPr>
          <w:rFonts w:hint="eastAsia" w:ascii="宋体" w:hAnsi="宋体"/>
          <w:sz w:val="24"/>
        </w:rPr>
        <w:t xml:space="preserve">年 </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60" w:lineRule="auto"/>
        <w:ind w:firstLine="470" w:firstLineChars="196"/>
        <w:jc w:val="center"/>
        <w:rPr>
          <w:rFonts w:ascii="宋体" w:hAnsi="宋体"/>
          <w:sz w:val="24"/>
        </w:rPr>
      </w:pPr>
      <w:r>
        <w:rPr>
          <w:rFonts w:hint="eastAsia" w:ascii="宋体" w:hAnsi="宋体"/>
          <w:sz w:val="24"/>
        </w:rPr>
        <w:t xml:space="preserve"> </w:t>
      </w:r>
    </w:p>
    <w:p>
      <w:pPr>
        <w:spacing w:line="360" w:lineRule="auto"/>
        <w:rPr>
          <w:b/>
          <w:sz w:val="24"/>
        </w:rPr>
      </w:pPr>
      <w:r>
        <w:rPr>
          <w:sz w:val="24"/>
        </w:rPr>
        <w:t xml:space="preserve"> </w:t>
      </w:r>
      <w:r>
        <w:rPr>
          <w:rFonts w:hint="eastAsia"/>
          <w:b/>
          <w:sz w:val="24"/>
        </w:rPr>
        <w:t>注：本项目只允许唯一的供应商授权代表。</w:t>
      </w:r>
    </w:p>
    <w:p>
      <w:pPr>
        <w:wordWrap w:val="0"/>
        <w:spacing w:line="360" w:lineRule="auto"/>
        <w:ind w:right="480" w:firstLine="420" w:firstLineChars="200"/>
        <w:rPr>
          <w:rFonts w:asciiTheme="minorEastAsia" w:hAnsiTheme="minorEastAsia" w:eastAsiaTheme="minorEastAsia" w:cstheme="minorEastAsia"/>
          <w:szCs w:val="21"/>
        </w:rPr>
      </w:pPr>
    </w:p>
    <w:p>
      <w:pPr>
        <w:spacing w:line="360" w:lineRule="auto"/>
        <w:jc w:val="center"/>
        <w:rPr>
          <w:rFonts w:asciiTheme="minorEastAsia" w:hAnsiTheme="minorEastAsia" w:eastAsiaTheme="minorEastAsia" w:cstheme="minorEastAsia"/>
          <w:b/>
          <w:spacing w:val="20"/>
          <w:sz w:val="36"/>
          <w:szCs w:val="36"/>
          <w:u w:val="single"/>
        </w:rPr>
      </w:pPr>
    </w:p>
    <w:sectPr>
      <w:headerReference r:id="rId3" w:type="default"/>
      <w:footerReference r:id="rId4" w:type="default"/>
      <w:pgSz w:w="11906" w:h="16838"/>
      <w:pgMar w:top="850" w:right="1230" w:bottom="873" w:left="1230" w:header="680" w:footer="680"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top w:val="single" w:color="auto" w:sz="4" w:space="1"/>
      </w:pBdr>
      <w:jc w:val="center"/>
    </w:pPr>
    <w:r>
      <w:pict>
        <v:shape id="文本框 5" o:spid="_x0000_s4098"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Qbg0ckBAACZAwAADgAAAGRycy9lMm9Eb2MueG1srVPNjtMwEL4j8Q6W&#10;79RpJVAVNV3tqlqEhABp4QFcx24s+U8et0lfAN6AExfuPFefg7GTdGG57IGLM54Zf/N9M5PNzWAN&#10;OckI2ruGLhcVJdIJ32p3aOiXz/ev1pRA4q7lxjvZ0LMEerN9+WLTh1qufOdNKyNBEAd1HxrapRRq&#10;xkB00nJY+CAdBpWPlie8xgNrI+8R3Rq2qqo3rPexDdELCYDe3RikE2J8DqBXSgu58+JopUsjapSG&#10;J5QEnQ5At4WtUlKkj0qBTMQ0FJWmcmIRtPf5ZNsNrw+Rh06LiQJ/DoUnmizXDoteoXY8cXKM+h8o&#10;q0X04FVaCG/ZKKR0BFUsqye9eeh4kEULthrCtenw/2DFh9OnSHTb0BUljlsc+OX7t8uPX5efX8nr&#10;3J4+QI1ZDwHz0nDnB1ya2Q/ozKoHFW3+oh6CcWzu+dpcOSQi8qP1ar2uMCQwNl8Qnz0+DxHSW+kt&#10;yUZDI06vNJWf3kMaU+eUXM35e21MmaBxfzkQM3tY5j5yzFYa9sMkaO/bM+rpcfANdbjnlJh3Dvua&#10;d2Q24mzsZ+MYoj50SG1ZeEG4PSYkUbjlCiPsVBgnVtRN25VX4s97yXr8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NBuDRyQEAAJkDAAAOAAAAAAAAAAEAIAAAAB4BAABkcnMvZTJvRG9j&#10;LnhtbFBLBQYAAAAABgAGAFkBAABZBQAAAAA=&#10;">
          <v:path/>
          <v:fill on="f" focussize="0,0"/>
          <v:stroke on="f" joinstyle="miter"/>
          <v:imagedata o:title=""/>
          <o:lock v:ext="edit"/>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r>
                  <w:rPr>
                    <w:rFonts w:hint="eastAsia"/>
                    <w:sz w:val="18"/>
                  </w:rPr>
                  <w:t xml:space="preserve"> 页 共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360"/>
      <w:rPr>
        <w:sz w:val="13"/>
        <w:szCs w:val="16"/>
      </w:rPr>
    </w:pPr>
    <w:r>
      <w:pict>
        <v:shape id="PowerPlusWaterMarkObject113238" o:spid="_x0000_s4097" o:spt="136" type="#_x0000_t136" style="position:absolute;left:0pt;height:105.65pt;width:185.5pt;mso-position-horizontal:center;mso-position-horizontal-relative:margin;mso-position-vertical:center;mso-position-vertical-relative:margin;z-index:-251656192;mso-width-relative:page;mso-height-relative:page;" fillcolor="#A6A6A6" filled="t" stroked="f" coordsize="21600,21600">
          <v:path/>
          <v:fill on="t" opacity="32768f" focussize="0,0"/>
          <v:stroke on="f"/>
          <v:imagedata o:title=""/>
          <o:lock v:ext="edit" aspectratio="t"/>
          <v:textpath on="t" fitshape="t" fitpath="t" trim="t" xscale="f" string="泰杰" style="font-family:方正行楷简体;font-size:96pt;v-text-align:center;"/>
        </v:shape>
      </w:pict>
    </w:r>
    <w:r>
      <w:rPr>
        <w:rFonts w:hint="eastAsia"/>
        <w:szCs w:val="21"/>
      </w:rPr>
      <w:t xml:space="preserve">                                                          </w:t>
    </w:r>
    <w:r>
      <w:rPr>
        <w:rFonts w:hint="eastAsia" w:ascii="仿宋" w:hAnsi="仿宋" w:eastAsia="仿宋"/>
        <w:b/>
        <w:bCs/>
        <w:lang w:eastAsia="zh-CN"/>
      </w:rPr>
      <w:t>潜山市第一人民医院血透耗材采购项目</w:t>
    </w:r>
    <w:r>
      <w:rPr>
        <w:rFonts w:hint="eastAsia" w:ascii="仿宋" w:hAnsi="仿宋" w:eastAsia="仿宋"/>
        <w:b/>
        <w:bCs/>
      </w:rPr>
      <w:t xml:space="preserve">招标文件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DD4D13"/>
    <w:multiLevelType w:val="singleLevel"/>
    <w:tmpl w:val="FBDD4D13"/>
    <w:lvl w:ilvl="0" w:tentative="0">
      <w:start w:val="4"/>
      <w:numFmt w:val="decimal"/>
      <w:suff w:val="nothing"/>
      <w:lvlText w:val="%1．"/>
      <w:lvlJc w:val="left"/>
    </w:lvl>
  </w:abstractNum>
  <w:abstractNum w:abstractNumId="1">
    <w:nsid w:val="24FAC7EE"/>
    <w:multiLevelType w:val="singleLevel"/>
    <w:tmpl w:val="24FAC7EE"/>
    <w:lvl w:ilvl="0" w:tentative="0">
      <w:start w:val="1"/>
      <w:numFmt w:val="decimal"/>
      <w:suff w:val="nothing"/>
      <w:lvlText w:val="（%1）"/>
      <w:lvlJc w:val="left"/>
      <w:pPr>
        <w:ind w:left="-100"/>
      </w:pPr>
    </w:lvl>
  </w:abstractNum>
  <w:abstractNum w:abstractNumId="2">
    <w:nsid w:val="58DE129E"/>
    <w:multiLevelType w:val="singleLevel"/>
    <w:tmpl w:val="58DE129E"/>
    <w:lvl w:ilvl="0" w:tentative="0">
      <w:start w:val="4"/>
      <w:numFmt w:val="chineseCounting"/>
      <w:suff w:val="nothing"/>
      <w:lvlText w:val="%1、"/>
      <w:lvlJc w:val="left"/>
    </w:lvl>
  </w:abstractNum>
  <w:abstractNum w:abstractNumId="3">
    <w:nsid w:val="6D8974D5"/>
    <w:multiLevelType w:val="multilevel"/>
    <w:tmpl w:val="6D8974D5"/>
    <w:lvl w:ilvl="0" w:tentative="0">
      <w:start w:val="9"/>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6DC91563"/>
    <w:multiLevelType w:val="multilevel"/>
    <w:tmpl w:val="6DC9156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8EF49A2"/>
    <w:multiLevelType w:val="multilevel"/>
    <w:tmpl w:val="78EF49A2"/>
    <w:lvl w:ilvl="0" w:tentative="0">
      <w:start w:val="1"/>
      <w:numFmt w:val="japaneseCounting"/>
      <w:lvlText w:val="第%1章"/>
      <w:lvlJc w:val="left"/>
      <w:pPr>
        <w:tabs>
          <w:tab w:val="left" w:pos="1275"/>
        </w:tabs>
        <w:ind w:left="1275" w:hanging="127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7B250AF8"/>
    <w:multiLevelType w:val="multilevel"/>
    <w:tmpl w:val="7B250AF8"/>
    <w:lvl w:ilvl="0" w:tentative="0">
      <w:start w:val="8"/>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5"/>
  </w:num>
  <w:num w:numId="2">
    <w:abstractNumId w:val="0"/>
  </w:num>
  <w:num w:numId="3">
    <w:abstractNumId w:val="4"/>
  </w:num>
  <w:num w:numId="4">
    <w:abstractNumId w:val="2"/>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TQ2MmEwMjNhNWU1NmE2YTZkMmJmZWNlMTBkYjM5MzYifQ=="/>
  </w:docVars>
  <w:rsids>
    <w:rsidRoot w:val="00172A27"/>
    <w:rsid w:val="00000A6A"/>
    <w:rsid w:val="00000C17"/>
    <w:rsid w:val="0000107A"/>
    <w:rsid w:val="000011BE"/>
    <w:rsid w:val="00001514"/>
    <w:rsid w:val="0000313F"/>
    <w:rsid w:val="000042D3"/>
    <w:rsid w:val="0000489C"/>
    <w:rsid w:val="00005133"/>
    <w:rsid w:val="00007032"/>
    <w:rsid w:val="000071EA"/>
    <w:rsid w:val="000073FC"/>
    <w:rsid w:val="00007AA3"/>
    <w:rsid w:val="000126E1"/>
    <w:rsid w:val="000149A1"/>
    <w:rsid w:val="00015E04"/>
    <w:rsid w:val="00016F43"/>
    <w:rsid w:val="00017071"/>
    <w:rsid w:val="00021D7E"/>
    <w:rsid w:val="00023297"/>
    <w:rsid w:val="00023BBF"/>
    <w:rsid w:val="00023C13"/>
    <w:rsid w:val="00023C3C"/>
    <w:rsid w:val="0002486D"/>
    <w:rsid w:val="0002603D"/>
    <w:rsid w:val="000267C3"/>
    <w:rsid w:val="000267D5"/>
    <w:rsid w:val="0002701D"/>
    <w:rsid w:val="0003013D"/>
    <w:rsid w:val="000319DA"/>
    <w:rsid w:val="000319EE"/>
    <w:rsid w:val="000337C8"/>
    <w:rsid w:val="00034AAF"/>
    <w:rsid w:val="00035299"/>
    <w:rsid w:val="000358D5"/>
    <w:rsid w:val="00035F36"/>
    <w:rsid w:val="0004043A"/>
    <w:rsid w:val="0004104A"/>
    <w:rsid w:val="000417F5"/>
    <w:rsid w:val="000417F8"/>
    <w:rsid w:val="0004231F"/>
    <w:rsid w:val="00045045"/>
    <w:rsid w:val="0004516A"/>
    <w:rsid w:val="000455DA"/>
    <w:rsid w:val="00045DB5"/>
    <w:rsid w:val="00046AAC"/>
    <w:rsid w:val="00047F3E"/>
    <w:rsid w:val="00050835"/>
    <w:rsid w:val="00050A83"/>
    <w:rsid w:val="000511CB"/>
    <w:rsid w:val="000512EC"/>
    <w:rsid w:val="000518DE"/>
    <w:rsid w:val="00053D7B"/>
    <w:rsid w:val="00053E44"/>
    <w:rsid w:val="0005429F"/>
    <w:rsid w:val="000546C0"/>
    <w:rsid w:val="00055074"/>
    <w:rsid w:val="0005656C"/>
    <w:rsid w:val="0005704C"/>
    <w:rsid w:val="00060E7B"/>
    <w:rsid w:val="00061608"/>
    <w:rsid w:val="00061E14"/>
    <w:rsid w:val="00062251"/>
    <w:rsid w:val="000624B1"/>
    <w:rsid w:val="0006343D"/>
    <w:rsid w:val="00063E2B"/>
    <w:rsid w:val="00064343"/>
    <w:rsid w:val="000649C8"/>
    <w:rsid w:val="00064D1E"/>
    <w:rsid w:val="00065803"/>
    <w:rsid w:val="000669F8"/>
    <w:rsid w:val="00066BD7"/>
    <w:rsid w:val="00070CBB"/>
    <w:rsid w:val="00070EF9"/>
    <w:rsid w:val="00071DB0"/>
    <w:rsid w:val="000727F7"/>
    <w:rsid w:val="00072F2C"/>
    <w:rsid w:val="00073941"/>
    <w:rsid w:val="00073DC2"/>
    <w:rsid w:val="00074E8A"/>
    <w:rsid w:val="00076BB9"/>
    <w:rsid w:val="000771F4"/>
    <w:rsid w:val="000776CC"/>
    <w:rsid w:val="0008079C"/>
    <w:rsid w:val="00081AFC"/>
    <w:rsid w:val="00083019"/>
    <w:rsid w:val="0008439C"/>
    <w:rsid w:val="00084F13"/>
    <w:rsid w:val="000853BB"/>
    <w:rsid w:val="000855F2"/>
    <w:rsid w:val="00086661"/>
    <w:rsid w:val="000867D9"/>
    <w:rsid w:val="00086C59"/>
    <w:rsid w:val="000876FF"/>
    <w:rsid w:val="000911C6"/>
    <w:rsid w:val="00091459"/>
    <w:rsid w:val="00091872"/>
    <w:rsid w:val="0009213F"/>
    <w:rsid w:val="000921B8"/>
    <w:rsid w:val="00092644"/>
    <w:rsid w:val="000927FC"/>
    <w:rsid w:val="00094CE2"/>
    <w:rsid w:val="000961D5"/>
    <w:rsid w:val="0009665A"/>
    <w:rsid w:val="00096958"/>
    <w:rsid w:val="00097945"/>
    <w:rsid w:val="00097DCE"/>
    <w:rsid w:val="000A0289"/>
    <w:rsid w:val="000A0E57"/>
    <w:rsid w:val="000A0F30"/>
    <w:rsid w:val="000A1C97"/>
    <w:rsid w:val="000A3717"/>
    <w:rsid w:val="000A3A67"/>
    <w:rsid w:val="000A5063"/>
    <w:rsid w:val="000A5517"/>
    <w:rsid w:val="000A5B59"/>
    <w:rsid w:val="000A6279"/>
    <w:rsid w:val="000A69D2"/>
    <w:rsid w:val="000A6C9F"/>
    <w:rsid w:val="000A6FD5"/>
    <w:rsid w:val="000A788F"/>
    <w:rsid w:val="000B0CC0"/>
    <w:rsid w:val="000B2118"/>
    <w:rsid w:val="000B2A8E"/>
    <w:rsid w:val="000B34B1"/>
    <w:rsid w:val="000B47EC"/>
    <w:rsid w:val="000B506D"/>
    <w:rsid w:val="000B672A"/>
    <w:rsid w:val="000B7D6E"/>
    <w:rsid w:val="000C02F8"/>
    <w:rsid w:val="000C0991"/>
    <w:rsid w:val="000C0D8C"/>
    <w:rsid w:val="000C0E18"/>
    <w:rsid w:val="000C1E8C"/>
    <w:rsid w:val="000C2FE7"/>
    <w:rsid w:val="000C383F"/>
    <w:rsid w:val="000C397F"/>
    <w:rsid w:val="000C4BBE"/>
    <w:rsid w:val="000C65DA"/>
    <w:rsid w:val="000C6EB4"/>
    <w:rsid w:val="000C7057"/>
    <w:rsid w:val="000C75DF"/>
    <w:rsid w:val="000D1369"/>
    <w:rsid w:val="000D256C"/>
    <w:rsid w:val="000D291C"/>
    <w:rsid w:val="000D2E0C"/>
    <w:rsid w:val="000D3288"/>
    <w:rsid w:val="000D3B07"/>
    <w:rsid w:val="000D4A10"/>
    <w:rsid w:val="000D4C41"/>
    <w:rsid w:val="000D51D6"/>
    <w:rsid w:val="000D7CAD"/>
    <w:rsid w:val="000E04AF"/>
    <w:rsid w:val="000E0905"/>
    <w:rsid w:val="000E1BDD"/>
    <w:rsid w:val="000E3173"/>
    <w:rsid w:val="000E39A5"/>
    <w:rsid w:val="000E39C4"/>
    <w:rsid w:val="000E46AE"/>
    <w:rsid w:val="000E4988"/>
    <w:rsid w:val="000E517E"/>
    <w:rsid w:val="000E657B"/>
    <w:rsid w:val="000E7179"/>
    <w:rsid w:val="000E7913"/>
    <w:rsid w:val="000F131D"/>
    <w:rsid w:val="000F1962"/>
    <w:rsid w:val="000F280E"/>
    <w:rsid w:val="000F2E4F"/>
    <w:rsid w:val="000F38FE"/>
    <w:rsid w:val="000F4F6F"/>
    <w:rsid w:val="000F5026"/>
    <w:rsid w:val="000F51A9"/>
    <w:rsid w:val="000F5E01"/>
    <w:rsid w:val="000F60B6"/>
    <w:rsid w:val="000F6EB4"/>
    <w:rsid w:val="000F72A8"/>
    <w:rsid w:val="0010403A"/>
    <w:rsid w:val="001073FE"/>
    <w:rsid w:val="00107DF9"/>
    <w:rsid w:val="00111443"/>
    <w:rsid w:val="00111841"/>
    <w:rsid w:val="00112063"/>
    <w:rsid w:val="00112E53"/>
    <w:rsid w:val="001167E5"/>
    <w:rsid w:val="00116C64"/>
    <w:rsid w:val="001174A5"/>
    <w:rsid w:val="00117808"/>
    <w:rsid w:val="00117938"/>
    <w:rsid w:val="001179CE"/>
    <w:rsid w:val="00120DED"/>
    <w:rsid w:val="00120EAA"/>
    <w:rsid w:val="001220D1"/>
    <w:rsid w:val="00122409"/>
    <w:rsid w:val="00122B92"/>
    <w:rsid w:val="00122D8B"/>
    <w:rsid w:val="00122E55"/>
    <w:rsid w:val="00123858"/>
    <w:rsid w:val="00124052"/>
    <w:rsid w:val="001243CD"/>
    <w:rsid w:val="00124EC6"/>
    <w:rsid w:val="00125299"/>
    <w:rsid w:val="0012684D"/>
    <w:rsid w:val="0012736F"/>
    <w:rsid w:val="001277D9"/>
    <w:rsid w:val="001278DE"/>
    <w:rsid w:val="001305FC"/>
    <w:rsid w:val="0013246E"/>
    <w:rsid w:val="00132A9F"/>
    <w:rsid w:val="00132D2A"/>
    <w:rsid w:val="0013382F"/>
    <w:rsid w:val="001356F1"/>
    <w:rsid w:val="0013594E"/>
    <w:rsid w:val="001369BD"/>
    <w:rsid w:val="00136B11"/>
    <w:rsid w:val="00136F8C"/>
    <w:rsid w:val="00140063"/>
    <w:rsid w:val="001406AE"/>
    <w:rsid w:val="00140F4F"/>
    <w:rsid w:val="00141AA8"/>
    <w:rsid w:val="001439B9"/>
    <w:rsid w:val="00144054"/>
    <w:rsid w:val="001441F6"/>
    <w:rsid w:val="00144C8F"/>
    <w:rsid w:val="00145333"/>
    <w:rsid w:val="00145F07"/>
    <w:rsid w:val="00146EFE"/>
    <w:rsid w:val="00146F98"/>
    <w:rsid w:val="001516AD"/>
    <w:rsid w:val="00151B2D"/>
    <w:rsid w:val="00152DE7"/>
    <w:rsid w:val="001549DF"/>
    <w:rsid w:val="00154D65"/>
    <w:rsid w:val="00155B7A"/>
    <w:rsid w:val="0015661A"/>
    <w:rsid w:val="00160DD3"/>
    <w:rsid w:val="00161312"/>
    <w:rsid w:val="00161D37"/>
    <w:rsid w:val="00162208"/>
    <w:rsid w:val="0016224A"/>
    <w:rsid w:val="001631D4"/>
    <w:rsid w:val="001650C9"/>
    <w:rsid w:val="001655B4"/>
    <w:rsid w:val="00172A27"/>
    <w:rsid w:val="00172FCE"/>
    <w:rsid w:val="0017392F"/>
    <w:rsid w:val="00174DB7"/>
    <w:rsid w:val="0017554C"/>
    <w:rsid w:val="00175C66"/>
    <w:rsid w:val="00176D3D"/>
    <w:rsid w:val="001772F1"/>
    <w:rsid w:val="00177B22"/>
    <w:rsid w:val="00180BE2"/>
    <w:rsid w:val="00180F64"/>
    <w:rsid w:val="00181AD1"/>
    <w:rsid w:val="00182186"/>
    <w:rsid w:val="00182637"/>
    <w:rsid w:val="0018463C"/>
    <w:rsid w:val="00184E4B"/>
    <w:rsid w:val="00185958"/>
    <w:rsid w:val="00185E38"/>
    <w:rsid w:val="001870B7"/>
    <w:rsid w:val="00190C28"/>
    <w:rsid w:val="00191342"/>
    <w:rsid w:val="001922E2"/>
    <w:rsid w:val="00193311"/>
    <w:rsid w:val="00194AA6"/>
    <w:rsid w:val="00194AE3"/>
    <w:rsid w:val="00195160"/>
    <w:rsid w:val="001951BE"/>
    <w:rsid w:val="00195325"/>
    <w:rsid w:val="00196169"/>
    <w:rsid w:val="00197C1C"/>
    <w:rsid w:val="001A093D"/>
    <w:rsid w:val="001A1819"/>
    <w:rsid w:val="001A1F8A"/>
    <w:rsid w:val="001A206F"/>
    <w:rsid w:val="001A2133"/>
    <w:rsid w:val="001A29CA"/>
    <w:rsid w:val="001A7223"/>
    <w:rsid w:val="001A77ED"/>
    <w:rsid w:val="001A7825"/>
    <w:rsid w:val="001A7D51"/>
    <w:rsid w:val="001B04B2"/>
    <w:rsid w:val="001B1202"/>
    <w:rsid w:val="001B32F6"/>
    <w:rsid w:val="001B5BD5"/>
    <w:rsid w:val="001B67A1"/>
    <w:rsid w:val="001C0361"/>
    <w:rsid w:val="001C1352"/>
    <w:rsid w:val="001C3C00"/>
    <w:rsid w:val="001C40DE"/>
    <w:rsid w:val="001C5109"/>
    <w:rsid w:val="001C583F"/>
    <w:rsid w:val="001C64E3"/>
    <w:rsid w:val="001C6AE4"/>
    <w:rsid w:val="001D05C7"/>
    <w:rsid w:val="001D0B74"/>
    <w:rsid w:val="001D0E65"/>
    <w:rsid w:val="001D18E8"/>
    <w:rsid w:val="001D1A63"/>
    <w:rsid w:val="001D3710"/>
    <w:rsid w:val="001D4553"/>
    <w:rsid w:val="001D4B3E"/>
    <w:rsid w:val="001D4FDA"/>
    <w:rsid w:val="001D65D5"/>
    <w:rsid w:val="001D673B"/>
    <w:rsid w:val="001D677C"/>
    <w:rsid w:val="001D6E9C"/>
    <w:rsid w:val="001E1B69"/>
    <w:rsid w:val="001E221F"/>
    <w:rsid w:val="001E2320"/>
    <w:rsid w:val="001E2757"/>
    <w:rsid w:val="001E3BB5"/>
    <w:rsid w:val="001E4AD9"/>
    <w:rsid w:val="001E5249"/>
    <w:rsid w:val="001E5D62"/>
    <w:rsid w:val="001E638F"/>
    <w:rsid w:val="001E6D51"/>
    <w:rsid w:val="001E783B"/>
    <w:rsid w:val="001E7C14"/>
    <w:rsid w:val="001E7E18"/>
    <w:rsid w:val="001E7E1E"/>
    <w:rsid w:val="001F05E7"/>
    <w:rsid w:val="001F1CF5"/>
    <w:rsid w:val="001F1F69"/>
    <w:rsid w:val="001F2E32"/>
    <w:rsid w:val="001F59C8"/>
    <w:rsid w:val="001F5A3C"/>
    <w:rsid w:val="001F5D96"/>
    <w:rsid w:val="001F6795"/>
    <w:rsid w:val="001F7C81"/>
    <w:rsid w:val="00200675"/>
    <w:rsid w:val="00201B80"/>
    <w:rsid w:val="0020331E"/>
    <w:rsid w:val="002033F7"/>
    <w:rsid w:val="00204105"/>
    <w:rsid w:val="002042AE"/>
    <w:rsid w:val="002046D4"/>
    <w:rsid w:val="00204C8D"/>
    <w:rsid w:val="00205937"/>
    <w:rsid w:val="00205E17"/>
    <w:rsid w:val="00206B65"/>
    <w:rsid w:val="002077EB"/>
    <w:rsid w:val="00207FED"/>
    <w:rsid w:val="00210821"/>
    <w:rsid w:val="002114E2"/>
    <w:rsid w:val="00211B1D"/>
    <w:rsid w:val="002125D8"/>
    <w:rsid w:val="00212CF6"/>
    <w:rsid w:val="00213E57"/>
    <w:rsid w:val="00214600"/>
    <w:rsid w:val="00214AEF"/>
    <w:rsid w:val="00214CF3"/>
    <w:rsid w:val="002163E0"/>
    <w:rsid w:val="00216845"/>
    <w:rsid w:val="00217292"/>
    <w:rsid w:val="002173FD"/>
    <w:rsid w:val="002176B3"/>
    <w:rsid w:val="0022151F"/>
    <w:rsid w:val="0022209D"/>
    <w:rsid w:val="00222641"/>
    <w:rsid w:val="00222E59"/>
    <w:rsid w:val="00224723"/>
    <w:rsid w:val="00230744"/>
    <w:rsid w:val="00230BEE"/>
    <w:rsid w:val="00231320"/>
    <w:rsid w:val="00231B07"/>
    <w:rsid w:val="002326D3"/>
    <w:rsid w:val="00233012"/>
    <w:rsid w:val="0023410B"/>
    <w:rsid w:val="002345F1"/>
    <w:rsid w:val="00235BC7"/>
    <w:rsid w:val="00237F01"/>
    <w:rsid w:val="002425BE"/>
    <w:rsid w:val="002435B9"/>
    <w:rsid w:val="002440C0"/>
    <w:rsid w:val="00244DB8"/>
    <w:rsid w:val="00245132"/>
    <w:rsid w:val="002459A4"/>
    <w:rsid w:val="00247C71"/>
    <w:rsid w:val="00247CEA"/>
    <w:rsid w:val="002507EA"/>
    <w:rsid w:val="0025135B"/>
    <w:rsid w:val="0025135C"/>
    <w:rsid w:val="00254B32"/>
    <w:rsid w:val="0025592B"/>
    <w:rsid w:val="0025625B"/>
    <w:rsid w:val="00256A21"/>
    <w:rsid w:val="00256B7A"/>
    <w:rsid w:val="00260D0E"/>
    <w:rsid w:val="002613B1"/>
    <w:rsid w:val="0026174D"/>
    <w:rsid w:val="00263914"/>
    <w:rsid w:val="00265EB2"/>
    <w:rsid w:val="0026687E"/>
    <w:rsid w:val="00266DCC"/>
    <w:rsid w:val="00267614"/>
    <w:rsid w:val="00270AC3"/>
    <w:rsid w:val="00271174"/>
    <w:rsid w:val="0027263E"/>
    <w:rsid w:val="00272B6E"/>
    <w:rsid w:val="00273F59"/>
    <w:rsid w:val="00274982"/>
    <w:rsid w:val="00275943"/>
    <w:rsid w:val="002766F3"/>
    <w:rsid w:val="00276D8D"/>
    <w:rsid w:val="002778C2"/>
    <w:rsid w:val="00280852"/>
    <w:rsid w:val="00283554"/>
    <w:rsid w:val="00283A9C"/>
    <w:rsid w:val="002845ED"/>
    <w:rsid w:val="00286683"/>
    <w:rsid w:val="00286742"/>
    <w:rsid w:val="00286CDE"/>
    <w:rsid w:val="0029008F"/>
    <w:rsid w:val="0029062C"/>
    <w:rsid w:val="00292182"/>
    <w:rsid w:val="00292D6C"/>
    <w:rsid w:val="00294433"/>
    <w:rsid w:val="00296467"/>
    <w:rsid w:val="00296882"/>
    <w:rsid w:val="00297D4E"/>
    <w:rsid w:val="002A1B49"/>
    <w:rsid w:val="002A3349"/>
    <w:rsid w:val="002A35E2"/>
    <w:rsid w:val="002A3645"/>
    <w:rsid w:val="002A369D"/>
    <w:rsid w:val="002A4102"/>
    <w:rsid w:val="002A575B"/>
    <w:rsid w:val="002A6A11"/>
    <w:rsid w:val="002A6B1A"/>
    <w:rsid w:val="002A7F1D"/>
    <w:rsid w:val="002B11F0"/>
    <w:rsid w:val="002B2BFF"/>
    <w:rsid w:val="002B2E4D"/>
    <w:rsid w:val="002B50D0"/>
    <w:rsid w:val="002B5642"/>
    <w:rsid w:val="002C0A12"/>
    <w:rsid w:val="002C28C0"/>
    <w:rsid w:val="002C2D23"/>
    <w:rsid w:val="002C39EF"/>
    <w:rsid w:val="002C6397"/>
    <w:rsid w:val="002C64BC"/>
    <w:rsid w:val="002C6C59"/>
    <w:rsid w:val="002C7962"/>
    <w:rsid w:val="002C7E99"/>
    <w:rsid w:val="002D0B16"/>
    <w:rsid w:val="002D1D09"/>
    <w:rsid w:val="002D418A"/>
    <w:rsid w:val="002D5186"/>
    <w:rsid w:val="002D65D7"/>
    <w:rsid w:val="002D72D5"/>
    <w:rsid w:val="002E004A"/>
    <w:rsid w:val="002E0B8B"/>
    <w:rsid w:val="002E1B58"/>
    <w:rsid w:val="002E25B3"/>
    <w:rsid w:val="002E27C0"/>
    <w:rsid w:val="002E2C59"/>
    <w:rsid w:val="002E30E7"/>
    <w:rsid w:val="002E3CB8"/>
    <w:rsid w:val="002E3F09"/>
    <w:rsid w:val="002E424C"/>
    <w:rsid w:val="002E52E5"/>
    <w:rsid w:val="002E5AC1"/>
    <w:rsid w:val="002E66DD"/>
    <w:rsid w:val="002E715D"/>
    <w:rsid w:val="002E7435"/>
    <w:rsid w:val="002F03A1"/>
    <w:rsid w:val="002F05C8"/>
    <w:rsid w:val="002F28F8"/>
    <w:rsid w:val="002F3496"/>
    <w:rsid w:val="002F4ABE"/>
    <w:rsid w:val="002F5878"/>
    <w:rsid w:val="002F59BB"/>
    <w:rsid w:val="002F6889"/>
    <w:rsid w:val="002F719B"/>
    <w:rsid w:val="002F7888"/>
    <w:rsid w:val="002F7E6A"/>
    <w:rsid w:val="0030099E"/>
    <w:rsid w:val="00300AA1"/>
    <w:rsid w:val="00301C94"/>
    <w:rsid w:val="00302892"/>
    <w:rsid w:val="00302E11"/>
    <w:rsid w:val="0030348E"/>
    <w:rsid w:val="00304FDC"/>
    <w:rsid w:val="00305290"/>
    <w:rsid w:val="00306C78"/>
    <w:rsid w:val="00306D69"/>
    <w:rsid w:val="00307001"/>
    <w:rsid w:val="003073E6"/>
    <w:rsid w:val="00307483"/>
    <w:rsid w:val="003105B2"/>
    <w:rsid w:val="003105F8"/>
    <w:rsid w:val="00310BB3"/>
    <w:rsid w:val="00310C16"/>
    <w:rsid w:val="0031122F"/>
    <w:rsid w:val="00312311"/>
    <w:rsid w:val="00312836"/>
    <w:rsid w:val="00312AAD"/>
    <w:rsid w:val="00312BC9"/>
    <w:rsid w:val="00313A96"/>
    <w:rsid w:val="00314160"/>
    <w:rsid w:val="003145C8"/>
    <w:rsid w:val="00315C72"/>
    <w:rsid w:val="003163E0"/>
    <w:rsid w:val="00316951"/>
    <w:rsid w:val="003175FC"/>
    <w:rsid w:val="003176F3"/>
    <w:rsid w:val="003178D4"/>
    <w:rsid w:val="00317E42"/>
    <w:rsid w:val="00320D6B"/>
    <w:rsid w:val="00321A54"/>
    <w:rsid w:val="00321F80"/>
    <w:rsid w:val="003229B4"/>
    <w:rsid w:val="00325096"/>
    <w:rsid w:val="00325642"/>
    <w:rsid w:val="00326011"/>
    <w:rsid w:val="003267C0"/>
    <w:rsid w:val="003270C1"/>
    <w:rsid w:val="003272E2"/>
    <w:rsid w:val="00327C33"/>
    <w:rsid w:val="003305C2"/>
    <w:rsid w:val="00332823"/>
    <w:rsid w:val="00334A1C"/>
    <w:rsid w:val="00334D04"/>
    <w:rsid w:val="0033542D"/>
    <w:rsid w:val="00336A95"/>
    <w:rsid w:val="00336B7E"/>
    <w:rsid w:val="0034005F"/>
    <w:rsid w:val="00340418"/>
    <w:rsid w:val="00340598"/>
    <w:rsid w:val="00340CA3"/>
    <w:rsid w:val="00340FD1"/>
    <w:rsid w:val="003410C7"/>
    <w:rsid w:val="00341C40"/>
    <w:rsid w:val="00341EEE"/>
    <w:rsid w:val="0034207C"/>
    <w:rsid w:val="0034236A"/>
    <w:rsid w:val="00342431"/>
    <w:rsid w:val="00342CC5"/>
    <w:rsid w:val="0034330A"/>
    <w:rsid w:val="00343F0C"/>
    <w:rsid w:val="00344450"/>
    <w:rsid w:val="003449F5"/>
    <w:rsid w:val="00344FF1"/>
    <w:rsid w:val="0034561D"/>
    <w:rsid w:val="0034584A"/>
    <w:rsid w:val="00346695"/>
    <w:rsid w:val="003468DA"/>
    <w:rsid w:val="00347C77"/>
    <w:rsid w:val="003530B9"/>
    <w:rsid w:val="003536F9"/>
    <w:rsid w:val="003576B2"/>
    <w:rsid w:val="003579E9"/>
    <w:rsid w:val="00357AB1"/>
    <w:rsid w:val="00357E4A"/>
    <w:rsid w:val="00360A48"/>
    <w:rsid w:val="00360E8B"/>
    <w:rsid w:val="00363941"/>
    <w:rsid w:val="00365242"/>
    <w:rsid w:val="00365806"/>
    <w:rsid w:val="0036584A"/>
    <w:rsid w:val="00365CD1"/>
    <w:rsid w:val="00366802"/>
    <w:rsid w:val="00367556"/>
    <w:rsid w:val="00367E09"/>
    <w:rsid w:val="003703FD"/>
    <w:rsid w:val="0037074E"/>
    <w:rsid w:val="003716BD"/>
    <w:rsid w:val="00371ED3"/>
    <w:rsid w:val="0037200A"/>
    <w:rsid w:val="003728A4"/>
    <w:rsid w:val="00373768"/>
    <w:rsid w:val="00373E20"/>
    <w:rsid w:val="00374088"/>
    <w:rsid w:val="00374B64"/>
    <w:rsid w:val="00374D5A"/>
    <w:rsid w:val="00374D9F"/>
    <w:rsid w:val="00375424"/>
    <w:rsid w:val="003759E3"/>
    <w:rsid w:val="00375EF7"/>
    <w:rsid w:val="0037685F"/>
    <w:rsid w:val="00376860"/>
    <w:rsid w:val="00377217"/>
    <w:rsid w:val="00377B6A"/>
    <w:rsid w:val="003805B8"/>
    <w:rsid w:val="00380BEC"/>
    <w:rsid w:val="00380E97"/>
    <w:rsid w:val="00381547"/>
    <w:rsid w:val="003843B4"/>
    <w:rsid w:val="0038522C"/>
    <w:rsid w:val="00385457"/>
    <w:rsid w:val="00386506"/>
    <w:rsid w:val="00387404"/>
    <w:rsid w:val="003915D6"/>
    <w:rsid w:val="00391B31"/>
    <w:rsid w:val="00393E67"/>
    <w:rsid w:val="00393E8C"/>
    <w:rsid w:val="0039408B"/>
    <w:rsid w:val="003941D5"/>
    <w:rsid w:val="003945A8"/>
    <w:rsid w:val="003951C1"/>
    <w:rsid w:val="003955F0"/>
    <w:rsid w:val="00395EE5"/>
    <w:rsid w:val="003961A6"/>
    <w:rsid w:val="0039711A"/>
    <w:rsid w:val="0039724E"/>
    <w:rsid w:val="003A08EE"/>
    <w:rsid w:val="003A115D"/>
    <w:rsid w:val="003A1DB6"/>
    <w:rsid w:val="003A2157"/>
    <w:rsid w:val="003A23CD"/>
    <w:rsid w:val="003A2404"/>
    <w:rsid w:val="003A2A59"/>
    <w:rsid w:val="003A2A7F"/>
    <w:rsid w:val="003A3ED5"/>
    <w:rsid w:val="003A3F01"/>
    <w:rsid w:val="003A5005"/>
    <w:rsid w:val="003A5C2F"/>
    <w:rsid w:val="003A6033"/>
    <w:rsid w:val="003A6E78"/>
    <w:rsid w:val="003B099F"/>
    <w:rsid w:val="003B106E"/>
    <w:rsid w:val="003B1083"/>
    <w:rsid w:val="003B1698"/>
    <w:rsid w:val="003B19DA"/>
    <w:rsid w:val="003B2A11"/>
    <w:rsid w:val="003B4449"/>
    <w:rsid w:val="003B4548"/>
    <w:rsid w:val="003B476C"/>
    <w:rsid w:val="003B47F2"/>
    <w:rsid w:val="003B49A3"/>
    <w:rsid w:val="003B5AA5"/>
    <w:rsid w:val="003B67A4"/>
    <w:rsid w:val="003C0512"/>
    <w:rsid w:val="003C30F4"/>
    <w:rsid w:val="003C36D7"/>
    <w:rsid w:val="003C409B"/>
    <w:rsid w:val="003C47B2"/>
    <w:rsid w:val="003C48FC"/>
    <w:rsid w:val="003C4A00"/>
    <w:rsid w:val="003C5067"/>
    <w:rsid w:val="003C5C6B"/>
    <w:rsid w:val="003C6780"/>
    <w:rsid w:val="003C67C0"/>
    <w:rsid w:val="003C697E"/>
    <w:rsid w:val="003C69AC"/>
    <w:rsid w:val="003C7124"/>
    <w:rsid w:val="003C7232"/>
    <w:rsid w:val="003C73A6"/>
    <w:rsid w:val="003C7466"/>
    <w:rsid w:val="003C7F3A"/>
    <w:rsid w:val="003D1DD8"/>
    <w:rsid w:val="003D218C"/>
    <w:rsid w:val="003D294F"/>
    <w:rsid w:val="003D325F"/>
    <w:rsid w:val="003D3BEF"/>
    <w:rsid w:val="003D3DB8"/>
    <w:rsid w:val="003D572F"/>
    <w:rsid w:val="003D6554"/>
    <w:rsid w:val="003D6CB6"/>
    <w:rsid w:val="003D6CCA"/>
    <w:rsid w:val="003D7269"/>
    <w:rsid w:val="003D758D"/>
    <w:rsid w:val="003D7DEF"/>
    <w:rsid w:val="003E0064"/>
    <w:rsid w:val="003E0718"/>
    <w:rsid w:val="003E0ADD"/>
    <w:rsid w:val="003E2AA0"/>
    <w:rsid w:val="003E2FA7"/>
    <w:rsid w:val="003E5721"/>
    <w:rsid w:val="003E5A6E"/>
    <w:rsid w:val="003E6179"/>
    <w:rsid w:val="003E62ED"/>
    <w:rsid w:val="003E7477"/>
    <w:rsid w:val="003E7543"/>
    <w:rsid w:val="003F006A"/>
    <w:rsid w:val="003F1A87"/>
    <w:rsid w:val="003F367E"/>
    <w:rsid w:val="003F393F"/>
    <w:rsid w:val="003F3D8A"/>
    <w:rsid w:val="003F455E"/>
    <w:rsid w:val="003F469D"/>
    <w:rsid w:val="003F5214"/>
    <w:rsid w:val="003F585F"/>
    <w:rsid w:val="0040086F"/>
    <w:rsid w:val="00400BC1"/>
    <w:rsid w:val="00400CBB"/>
    <w:rsid w:val="00400DAB"/>
    <w:rsid w:val="00401F64"/>
    <w:rsid w:val="00402A2D"/>
    <w:rsid w:val="00402E6A"/>
    <w:rsid w:val="00403EAD"/>
    <w:rsid w:val="00404210"/>
    <w:rsid w:val="00405BF8"/>
    <w:rsid w:val="0040751E"/>
    <w:rsid w:val="00407A49"/>
    <w:rsid w:val="00407C07"/>
    <w:rsid w:val="00407E6B"/>
    <w:rsid w:val="00411907"/>
    <w:rsid w:val="00411D59"/>
    <w:rsid w:val="00412536"/>
    <w:rsid w:val="00412D9F"/>
    <w:rsid w:val="00412E67"/>
    <w:rsid w:val="00413113"/>
    <w:rsid w:val="00414D20"/>
    <w:rsid w:val="00414F6C"/>
    <w:rsid w:val="0041594E"/>
    <w:rsid w:val="00415C9B"/>
    <w:rsid w:val="0041659E"/>
    <w:rsid w:val="00417819"/>
    <w:rsid w:val="004201E3"/>
    <w:rsid w:val="00422047"/>
    <w:rsid w:val="00423AFD"/>
    <w:rsid w:val="00424053"/>
    <w:rsid w:val="004254B5"/>
    <w:rsid w:val="0042571B"/>
    <w:rsid w:val="00425E93"/>
    <w:rsid w:val="00426978"/>
    <w:rsid w:val="00426C42"/>
    <w:rsid w:val="00427178"/>
    <w:rsid w:val="004275A9"/>
    <w:rsid w:val="004277D1"/>
    <w:rsid w:val="004279C2"/>
    <w:rsid w:val="00430C4F"/>
    <w:rsid w:val="00430DEA"/>
    <w:rsid w:val="00430E81"/>
    <w:rsid w:val="004334A0"/>
    <w:rsid w:val="004335E2"/>
    <w:rsid w:val="00434058"/>
    <w:rsid w:val="0043601D"/>
    <w:rsid w:val="00437C5C"/>
    <w:rsid w:val="00440244"/>
    <w:rsid w:val="00440C28"/>
    <w:rsid w:val="00440ED3"/>
    <w:rsid w:val="00441772"/>
    <w:rsid w:val="00442E0F"/>
    <w:rsid w:val="004430A8"/>
    <w:rsid w:val="00444F11"/>
    <w:rsid w:val="004451E4"/>
    <w:rsid w:val="00445AB0"/>
    <w:rsid w:val="004474A6"/>
    <w:rsid w:val="00450247"/>
    <w:rsid w:val="00451836"/>
    <w:rsid w:val="004525DA"/>
    <w:rsid w:val="0045369F"/>
    <w:rsid w:val="00454783"/>
    <w:rsid w:val="00455D85"/>
    <w:rsid w:val="00456848"/>
    <w:rsid w:val="004571E9"/>
    <w:rsid w:val="00457437"/>
    <w:rsid w:val="004607BC"/>
    <w:rsid w:val="004612AE"/>
    <w:rsid w:val="00461B99"/>
    <w:rsid w:val="00462405"/>
    <w:rsid w:val="00462666"/>
    <w:rsid w:val="00462838"/>
    <w:rsid w:val="00462B5A"/>
    <w:rsid w:val="00463218"/>
    <w:rsid w:val="004635A3"/>
    <w:rsid w:val="00463AFA"/>
    <w:rsid w:val="0046404A"/>
    <w:rsid w:val="00464AD4"/>
    <w:rsid w:val="004655A4"/>
    <w:rsid w:val="00466615"/>
    <w:rsid w:val="00466C75"/>
    <w:rsid w:val="00466F5F"/>
    <w:rsid w:val="00466F7D"/>
    <w:rsid w:val="00470629"/>
    <w:rsid w:val="004713DD"/>
    <w:rsid w:val="004717B9"/>
    <w:rsid w:val="004718A4"/>
    <w:rsid w:val="00471DFC"/>
    <w:rsid w:val="0047330F"/>
    <w:rsid w:val="00473846"/>
    <w:rsid w:val="00473B85"/>
    <w:rsid w:val="00474217"/>
    <w:rsid w:val="004754F6"/>
    <w:rsid w:val="00475883"/>
    <w:rsid w:val="00475F53"/>
    <w:rsid w:val="004776EB"/>
    <w:rsid w:val="00477B6E"/>
    <w:rsid w:val="00477C15"/>
    <w:rsid w:val="00482DC6"/>
    <w:rsid w:val="00483014"/>
    <w:rsid w:val="004830AC"/>
    <w:rsid w:val="00483CAA"/>
    <w:rsid w:val="00483FDE"/>
    <w:rsid w:val="004848A8"/>
    <w:rsid w:val="00484CAA"/>
    <w:rsid w:val="004850C6"/>
    <w:rsid w:val="00485F30"/>
    <w:rsid w:val="00486F8F"/>
    <w:rsid w:val="00487C08"/>
    <w:rsid w:val="00490340"/>
    <w:rsid w:val="004908EE"/>
    <w:rsid w:val="00490FA9"/>
    <w:rsid w:val="00493072"/>
    <w:rsid w:val="004947C9"/>
    <w:rsid w:val="00494BB8"/>
    <w:rsid w:val="00495E8B"/>
    <w:rsid w:val="004960B4"/>
    <w:rsid w:val="00496636"/>
    <w:rsid w:val="00496712"/>
    <w:rsid w:val="004A17F3"/>
    <w:rsid w:val="004A3636"/>
    <w:rsid w:val="004A3CD1"/>
    <w:rsid w:val="004A3EB3"/>
    <w:rsid w:val="004A42BE"/>
    <w:rsid w:val="004A4519"/>
    <w:rsid w:val="004A4C87"/>
    <w:rsid w:val="004A53A0"/>
    <w:rsid w:val="004A5793"/>
    <w:rsid w:val="004A6A7B"/>
    <w:rsid w:val="004B1334"/>
    <w:rsid w:val="004B137A"/>
    <w:rsid w:val="004B29ED"/>
    <w:rsid w:val="004B2F53"/>
    <w:rsid w:val="004B4C44"/>
    <w:rsid w:val="004B6646"/>
    <w:rsid w:val="004B7954"/>
    <w:rsid w:val="004B7E43"/>
    <w:rsid w:val="004C0C5A"/>
    <w:rsid w:val="004C0CC9"/>
    <w:rsid w:val="004C1804"/>
    <w:rsid w:val="004C2667"/>
    <w:rsid w:val="004C26AC"/>
    <w:rsid w:val="004C3541"/>
    <w:rsid w:val="004C44B6"/>
    <w:rsid w:val="004C7336"/>
    <w:rsid w:val="004D109E"/>
    <w:rsid w:val="004D1740"/>
    <w:rsid w:val="004D1906"/>
    <w:rsid w:val="004D2935"/>
    <w:rsid w:val="004D2E16"/>
    <w:rsid w:val="004D38F9"/>
    <w:rsid w:val="004D51D6"/>
    <w:rsid w:val="004D5B27"/>
    <w:rsid w:val="004D6D03"/>
    <w:rsid w:val="004D7D77"/>
    <w:rsid w:val="004E177E"/>
    <w:rsid w:val="004E3F70"/>
    <w:rsid w:val="004E4673"/>
    <w:rsid w:val="004E48A9"/>
    <w:rsid w:val="004E4D20"/>
    <w:rsid w:val="004E67F0"/>
    <w:rsid w:val="004E740F"/>
    <w:rsid w:val="004F0AF1"/>
    <w:rsid w:val="004F0AF5"/>
    <w:rsid w:val="004F1C57"/>
    <w:rsid w:val="004F21AA"/>
    <w:rsid w:val="004F321C"/>
    <w:rsid w:val="004F357E"/>
    <w:rsid w:val="004F391B"/>
    <w:rsid w:val="004F4C6B"/>
    <w:rsid w:val="004F555F"/>
    <w:rsid w:val="004F5D55"/>
    <w:rsid w:val="004F5D6D"/>
    <w:rsid w:val="004F617B"/>
    <w:rsid w:val="004F77FD"/>
    <w:rsid w:val="004F78AA"/>
    <w:rsid w:val="004F7971"/>
    <w:rsid w:val="005008FF"/>
    <w:rsid w:val="005009BC"/>
    <w:rsid w:val="0050100C"/>
    <w:rsid w:val="005013D8"/>
    <w:rsid w:val="00501EEE"/>
    <w:rsid w:val="00502B96"/>
    <w:rsid w:val="00502D82"/>
    <w:rsid w:val="00503EDB"/>
    <w:rsid w:val="00504102"/>
    <w:rsid w:val="0050460A"/>
    <w:rsid w:val="00505420"/>
    <w:rsid w:val="00506DAA"/>
    <w:rsid w:val="005077C3"/>
    <w:rsid w:val="0051089F"/>
    <w:rsid w:val="00510DE4"/>
    <w:rsid w:val="005110A4"/>
    <w:rsid w:val="005150A2"/>
    <w:rsid w:val="00515719"/>
    <w:rsid w:val="005157BF"/>
    <w:rsid w:val="0051711F"/>
    <w:rsid w:val="00520220"/>
    <w:rsid w:val="005204F4"/>
    <w:rsid w:val="0052089E"/>
    <w:rsid w:val="005208E7"/>
    <w:rsid w:val="005213A2"/>
    <w:rsid w:val="005213B9"/>
    <w:rsid w:val="005218BA"/>
    <w:rsid w:val="0052199A"/>
    <w:rsid w:val="005221ED"/>
    <w:rsid w:val="005236FB"/>
    <w:rsid w:val="00524017"/>
    <w:rsid w:val="005268F2"/>
    <w:rsid w:val="005310FD"/>
    <w:rsid w:val="0053125F"/>
    <w:rsid w:val="00531FB1"/>
    <w:rsid w:val="00533ABC"/>
    <w:rsid w:val="00534B9F"/>
    <w:rsid w:val="00535F7C"/>
    <w:rsid w:val="0053715B"/>
    <w:rsid w:val="0054028E"/>
    <w:rsid w:val="00540574"/>
    <w:rsid w:val="00540A01"/>
    <w:rsid w:val="00540E57"/>
    <w:rsid w:val="005416D2"/>
    <w:rsid w:val="00542EB0"/>
    <w:rsid w:val="00543E12"/>
    <w:rsid w:val="0054573A"/>
    <w:rsid w:val="00545D58"/>
    <w:rsid w:val="00546DC7"/>
    <w:rsid w:val="00547F73"/>
    <w:rsid w:val="0055013A"/>
    <w:rsid w:val="005501B5"/>
    <w:rsid w:val="00550CB9"/>
    <w:rsid w:val="0055128A"/>
    <w:rsid w:val="00551694"/>
    <w:rsid w:val="00552F4F"/>
    <w:rsid w:val="005530A2"/>
    <w:rsid w:val="00553DC0"/>
    <w:rsid w:val="005548B0"/>
    <w:rsid w:val="00555612"/>
    <w:rsid w:val="005569C0"/>
    <w:rsid w:val="00556B98"/>
    <w:rsid w:val="00557B54"/>
    <w:rsid w:val="00557C37"/>
    <w:rsid w:val="00557CD5"/>
    <w:rsid w:val="00560010"/>
    <w:rsid w:val="0056045A"/>
    <w:rsid w:val="00560A1D"/>
    <w:rsid w:val="00562062"/>
    <w:rsid w:val="00563533"/>
    <w:rsid w:val="00564C60"/>
    <w:rsid w:val="00564C7F"/>
    <w:rsid w:val="005669A8"/>
    <w:rsid w:val="005702CF"/>
    <w:rsid w:val="00570C4D"/>
    <w:rsid w:val="00570EB7"/>
    <w:rsid w:val="00571033"/>
    <w:rsid w:val="0057199E"/>
    <w:rsid w:val="00571CCA"/>
    <w:rsid w:val="00571E5B"/>
    <w:rsid w:val="00572FB2"/>
    <w:rsid w:val="0057409F"/>
    <w:rsid w:val="0057797E"/>
    <w:rsid w:val="00577E85"/>
    <w:rsid w:val="00580F91"/>
    <w:rsid w:val="00580FCF"/>
    <w:rsid w:val="00581045"/>
    <w:rsid w:val="005811AC"/>
    <w:rsid w:val="00582B61"/>
    <w:rsid w:val="00583EF3"/>
    <w:rsid w:val="00585029"/>
    <w:rsid w:val="00585081"/>
    <w:rsid w:val="00590276"/>
    <w:rsid w:val="0059138F"/>
    <w:rsid w:val="00591AE1"/>
    <w:rsid w:val="0059245A"/>
    <w:rsid w:val="0059278E"/>
    <w:rsid w:val="00592AEB"/>
    <w:rsid w:val="00592DED"/>
    <w:rsid w:val="00593B13"/>
    <w:rsid w:val="005940F0"/>
    <w:rsid w:val="0059427F"/>
    <w:rsid w:val="0059450E"/>
    <w:rsid w:val="00594AA9"/>
    <w:rsid w:val="00594F5E"/>
    <w:rsid w:val="005950D8"/>
    <w:rsid w:val="00595666"/>
    <w:rsid w:val="00596035"/>
    <w:rsid w:val="005961B3"/>
    <w:rsid w:val="00596206"/>
    <w:rsid w:val="005A07E5"/>
    <w:rsid w:val="005A09A2"/>
    <w:rsid w:val="005A0D86"/>
    <w:rsid w:val="005A1303"/>
    <w:rsid w:val="005A2FE1"/>
    <w:rsid w:val="005A4BAC"/>
    <w:rsid w:val="005A5E3F"/>
    <w:rsid w:val="005A5FA5"/>
    <w:rsid w:val="005A6940"/>
    <w:rsid w:val="005A6CB5"/>
    <w:rsid w:val="005A6FB7"/>
    <w:rsid w:val="005A7CD8"/>
    <w:rsid w:val="005B0DDA"/>
    <w:rsid w:val="005B1193"/>
    <w:rsid w:val="005B1F74"/>
    <w:rsid w:val="005B217C"/>
    <w:rsid w:val="005B2402"/>
    <w:rsid w:val="005B3E17"/>
    <w:rsid w:val="005B6031"/>
    <w:rsid w:val="005B70E6"/>
    <w:rsid w:val="005C05F6"/>
    <w:rsid w:val="005C0847"/>
    <w:rsid w:val="005C0A40"/>
    <w:rsid w:val="005C141A"/>
    <w:rsid w:val="005C178A"/>
    <w:rsid w:val="005C29F5"/>
    <w:rsid w:val="005C2C6E"/>
    <w:rsid w:val="005C2E40"/>
    <w:rsid w:val="005C320A"/>
    <w:rsid w:val="005C3220"/>
    <w:rsid w:val="005C3D90"/>
    <w:rsid w:val="005C49F1"/>
    <w:rsid w:val="005C55F3"/>
    <w:rsid w:val="005C6465"/>
    <w:rsid w:val="005C7231"/>
    <w:rsid w:val="005D0C7C"/>
    <w:rsid w:val="005D122A"/>
    <w:rsid w:val="005D140C"/>
    <w:rsid w:val="005D3781"/>
    <w:rsid w:val="005D4C42"/>
    <w:rsid w:val="005D5DEC"/>
    <w:rsid w:val="005D6DB7"/>
    <w:rsid w:val="005D7CDC"/>
    <w:rsid w:val="005D7D2A"/>
    <w:rsid w:val="005E3FF1"/>
    <w:rsid w:val="005E42AF"/>
    <w:rsid w:val="005E4AF7"/>
    <w:rsid w:val="005E4C4D"/>
    <w:rsid w:val="005E6BE3"/>
    <w:rsid w:val="005E72FE"/>
    <w:rsid w:val="005E78F7"/>
    <w:rsid w:val="005E7900"/>
    <w:rsid w:val="005E7A69"/>
    <w:rsid w:val="005E7EDD"/>
    <w:rsid w:val="005E7F1C"/>
    <w:rsid w:val="005F050F"/>
    <w:rsid w:val="005F06A9"/>
    <w:rsid w:val="005F16FB"/>
    <w:rsid w:val="005F19DA"/>
    <w:rsid w:val="005F1EE6"/>
    <w:rsid w:val="005F23AC"/>
    <w:rsid w:val="005F2764"/>
    <w:rsid w:val="005F2776"/>
    <w:rsid w:val="005F2782"/>
    <w:rsid w:val="005F2A35"/>
    <w:rsid w:val="005F2A9B"/>
    <w:rsid w:val="005F3C04"/>
    <w:rsid w:val="005F4CC7"/>
    <w:rsid w:val="005F4DBF"/>
    <w:rsid w:val="005F59E1"/>
    <w:rsid w:val="005F6E6B"/>
    <w:rsid w:val="005F73D4"/>
    <w:rsid w:val="006003D6"/>
    <w:rsid w:val="006009FA"/>
    <w:rsid w:val="00601110"/>
    <w:rsid w:val="0060129B"/>
    <w:rsid w:val="00602572"/>
    <w:rsid w:val="00602AE4"/>
    <w:rsid w:val="00602D48"/>
    <w:rsid w:val="006034C2"/>
    <w:rsid w:val="00604BD4"/>
    <w:rsid w:val="00607D22"/>
    <w:rsid w:val="00607D69"/>
    <w:rsid w:val="00610525"/>
    <w:rsid w:val="006111F9"/>
    <w:rsid w:val="00613630"/>
    <w:rsid w:val="00616647"/>
    <w:rsid w:val="00617DA4"/>
    <w:rsid w:val="00620B6C"/>
    <w:rsid w:val="006224A1"/>
    <w:rsid w:val="006224D2"/>
    <w:rsid w:val="00622C4D"/>
    <w:rsid w:val="006235ED"/>
    <w:rsid w:val="00623EC0"/>
    <w:rsid w:val="00624752"/>
    <w:rsid w:val="00625136"/>
    <w:rsid w:val="00625881"/>
    <w:rsid w:val="00625D58"/>
    <w:rsid w:val="006265AE"/>
    <w:rsid w:val="00626BDD"/>
    <w:rsid w:val="00630419"/>
    <w:rsid w:val="006305FB"/>
    <w:rsid w:val="00630BFB"/>
    <w:rsid w:val="00630CDE"/>
    <w:rsid w:val="006323AB"/>
    <w:rsid w:val="00633645"/>
    <w:rsid w:val="00634FEC"/>
    <w:rsid w:val="00636352"/>
    <w:rsid w:val="00636A78"/>
    <w:rsid w:val="00636E3A"/>
    <w:rsid w:val="00636EF9"/>
    <w:rsid w:val="00637858"/>
    <w:rsid w:val="00637EE3"/>
    <w:rsid w:val="00641267"/>
    <w:rsid w:val="006416BD"/>
    <w:rsid w:val="00641B1F"/>
    <w:rsid w:val="00641B23"/>
    <w:rsid w:val="00641CA8"/>
    <w:rsid w:val="0064228F"/>
    <w:rsid w:val="00642CA3"/>
    <w:rsid w:val="00642F00"/>
    <w:rsid w:val="006432BD"/>
    <w:rsid w:val="006437A6"/>
    <w:rsid w:val="00643B92"/>
    <w:rsid w:val="00643D47"/>
    <w:rsid w:val="00645064"/>
    <w:rsid w:val="00650A19"/>
    <w:rsid w:val="00651002"/>
    <w:rsid w:val="0065140C"/>
    <w:rsid w:val="00651696"/>
    <w:rsid w:val="006541A1"/>
    <w:rsid w:val="0065461A"/>
    <w:rsid w:val="00656CF2"/>
    <w:rsid w:val="00661495"/>
    <w:rsid w:val="006614AF"/>
    <w:rsid w:val="006617FB"/>
    <w:rsid w:val="006633DB"/>
    <w:rsid w:val="006634B3"/>
    <w:rsid w:val="006636A7"/>
    <w:rsid w:val="00664042"/>
    <w:rsid w:val="00664AAF"/>
    <w:rsid w:val="00665733"/>
    <w:rsid w:val="00665D86"/>
    <w:rsid w:val="0067055E"/>
    <w:rsid w:val="0067172F"/>
    <w:rsid w:val="00671FD6"/>
    <w:rsid w:val="006747FD"/>
    <w:rsid w:val="0067489E"/>
    <w:rsid w:val="00674A4C"/>
    <w:rsid w:val="00676675"/>
    <w:rsid w:val="006778B6"/>
    <w:rsid w:val="006816DC"/>
    <w:rsid w:val="006818BE"/>
    <w:rsid w:val="00682527"/>
    <w:rsid w:val="00682D4F"/>
    <w:rsid w:val="0068346E"/>
    <w:rsid w:val="00683B8A"/>
    <w:rsid w:val="00685456"/>
    <w:rsid w:val="00686A8C"/>
    <w:rsid w:val="00686B64"/>
    <w:rsid w:val="00686F22"/>
    <w:rsid w:val="00687B99"/>
    <w:rsid w:val="006905DC"/>
    <w:rsid w:val="00690F82"/>
    <w:rsid w:val="006950AF"/>
    <w:rsid w:val="00695298"/>
    <w:rsid w:val="006958FB"/>
    <w:rsid w:val="00696FCE"/>
    <w:rsid w:val="0069773A"/>
    <w:rsid w:val="006977F3"/>
    <w:rsid w:val="006A09C6"/>
    <w:rsid w:val="006A1696"/>
    <w:rsid w:val="006A2406"/>
    <w:rsid w:val="006A251F"/>
    <w:rsid w:val="006A2A53"/>
    <w:rsid w:val="006A32F1"/>
    <w:rsid w:val="006A4660"/>
    <w:rsid w:val="006A51A0"/>
    <w:rsid w:val="006A56B2"/>
    <w:rsid w:val="006A65B6"/>
    <w:rsid w:val="006A7D7C"/>
    <w:rsid w:val="006A7ED9"/>
    <w:rsid w:val="006B0CF4"/>
    <w:rsid w:val="006B1143"/>
    <w:rsid w:val="006B20BA"/>
    <w:rsid w:val="006B2969"/>
    <w:rsid w:val="006B2B48"/>
    <w:rsid w:val="006B2C0A"/>
    <w:rsid w:val="006B2E21"/>
    <w:rsid w:val="006B3EA8"/>
    <w:rsid w:val="006B424E"/>
    <w:rsid w:val="006B43C0"/>
    <w:rsid w:val="006B44A6"/>
    <w:rsid w:val="006B4971"/>
    <w:rsid w:val="006B5A51"/>
    <w:rsid w:val="006B5ECA"/>
    <w:rsid w:val="006B5F5F"/>
    <w:rsid w:val="006B6CC1"/>
    <w:rsid w:val="006B6F3B"/>
    <w:rsid w:val="006B7B1B"/>
    <w:rsid w:val="006C3224"/>
    <w:rsid w:val="006C4DB8"/>
    <w:rsid w:val="006C4E9D"/>
    <w:rsid w:val="006C52FF"/>
    <w:rsid w:val="006C57B8"/>
    <w:rsid w:val="006C57C1"/>
    <w:rsid w:val="006C5A77"/>
    <w:rsid w:val="006C5FBD"/>
    <w:rsid w:val="006C6A95"/>
    <w:rsid w:val="006C6BBF"/>
    <w:rsid w:val="006C70B8"/>
    <w:rsid w:val="006D1388"/>
    <w:rsid w:val="006D1598"/>
    <w:rsid w:val="006D1F2C"/>
    <w:rsid w:val="006D2021"/>
    <w:rsid w:val="006D233F"/>
    <w:rsid w:val="006D2619"/>
    <w:rsid w:val="006D29E2"/>
    <w:rsid w:val="006D29EF"/>
    <w:rsid w:val="006D2A12"/>
    <w:rsid w:val="006D3270"/>
    <w:rsid w:val="006D338B"/>
    <w:rsid w:val="006D3704"/>
    <w:rsid w:val="006D46A5"/>
    <w:rsid w:val="006D5AE3"/>
    <w:rsid w:val="006D5CAF"/>
    <w:rsid w:val="006D6E1F"/>
    <w:rsid w:val="006D7D89"/>
    <w:rsid w:val="006E1CDE"/>
    <w:rsid w:val="006E3319"/>
    <w:rsid w:val="006E3C35"/>
    <w:rsid w:val="006E47CA"/>
    <w:rsid w:val="006E615D"/>
    <w:rsid w:val="006E62DC"/>
    <w:rsid w:val="006E6F15"/>
    <w:rsid w:val="006F02BB"/>
    <w:rsid w:val="006F0341"/>
    <w:rsid w:val="006F066C"/>
    <w:rsid w:val="006F074E"/>
    <w:rsid w:val="006F0DEE"/>
    <w:rsid w:val="006F1F3E"/>
    <w:rsid w:val="006F2AC5"/>
    <w:rsid w:val="006F42F6"/>
    <w:rsid w:val="006F442B"/>
    <w:rsid w:val="006F4930"/>
    <w:rsid w:val="006F527B"/>
    <w:rsid w:val="006F52BE"/>
    <w:rsid w:val="006F6236"/>
    <w:rsid w:val="006F72C3"/>
    <w:rsid w:val="007004A3"/>
    <w:rsid w:val="00700517"/>
    <w:rsid w:val="007011C9"/>
    <w:rsid w:val="0070151E"/>
    <w:rsid w:val="007022D4"/>
    <w:rsid w:val="00702707"/>
    <w:rsid w:val="00702D56"/>
    <w:rsid w:val="00703448"/>
    <w:rsid w:val="00703C70"/>
    <w:rsid w:val="00705B92"/>
    <w:rsid w:val="00706002"/>
    <w:rsid w:val="00706615"/>
    <w:rsid w:val="00706A0B"/>
    <w:rsid w:val="00706A10"/>
    <w:rsid w:val="00706C26"/>
    <w:rsid w:val="007079E1"/>
    <w:rsid w:val="0071073C"/>
    <w:rsid w:val="00710B82"/>
    <w:rsid w:val="0071210F"/>
    <w:rsid w:val="00712A2E"/>
    <w:rsid w:val="00712B1E"/>
    <w:rsid w:val="00713338"/>
    <w:rsid w:val="007133A5"/>
    <w:rsid w:val="00714041"/>
    <w:rsid w:val="0071430D"/>
    <w:rsid w:val="00715747"/>
    <w:rsid w:val="00716084"/>
    <w:rsid w:val="007167DA"/>
    <w:rsid w:val="00716B32"/>
    <w:rsid w:val="00717429"/>
    <w:rsid w:val="00717EE0"/>
    <w:rsid w:val="00720516"/>
    <w:rsid w:val="00721BDF"/>
    <w:rsid w:val="00722A2E"/>
    <w:rsid w:val="00722E6E"/>
    <w:rsid w:val="00723A1B"/>
    <w:rsid w:val="00725164"/>
    <w:rsid w:val="00725CA3"/>
    <w:rsid w:val="0072634A"/>
    <w:rsid w:val="00726847"/>
    <w:rsid w:val="00726BBF"/>
    <w:rsid w:val="007276FA"/>
    <w:rsid w:val="00727A6A"/>
    <w:rsid w:val="00727B55"/>
    <w:rsid w:val="00727FC5"/>
    <w:rsid w:val="0073081D"/>
    <w:rsid w:val="007315BC"/>
    <w:rsid w:val="00732C48"/>
    <w:rsid w:val="00733D41"/>
    <w:rsid w:val="00736D07"/>
    <w:rsid w:val="00737737"/>
    <w:rsid w:val="007378C7"/>
    <w:rsid w:val="00737F4F"/>
    <w:rsid w:val="007409EC"/>
    <w:rsid w:val="00740DA4"/>
    <w:rsid w:val="00743861"/>
    <w:rsid w:val="00743BA2"/>
    <w:rsid w:val="007460E0"/>
    <w:rsid w:val="00746A80"/>
    <w:rsid w:val="00746F7E"/>
    <w:rsid w:val="007472AF"/>
    <w:rsid w:val="00747EBF"/>
    <w:rsid w:val="00751178"/>
    <w:rsid w:val="00751322"/>
    <w:rsid w:val="00751D40"/>
    <w:rsid w:val="00753B04"/>
    <w:rsid w:val="00754C10"/>
    <w:rsid w:val="00754FE2"/>
    <w:rsid w:val="007560BE"/>
    <w:rsid w:val="00756161"/>
    <w:rsid w:val="00756200"/>
    <w:rsid w:val="0075685F"/>
    <w:rsid w:val="00756AFF"/>
    <w:rsid w:val="007600D6"/>
    <w:rsid w:val="007604F0"/>
    <w:rsid w:val="007606B5"/>
    <w:rsid w:val="007608E9"/>
    <w:rsid w:val="00760BE3"/>
    <w:rsid w:val="00760FA3"/>
    <w:rsid w:val="00762AE6"/>
    <w:rsid w:val="00763F74"/>
    <w:rsid w:val="00765D65"/>
    <w:rsid w:val="00766C87"/>
    <w:rsid w:val="00767347"/>
    <w:rsid w:val="00767FDF"/>
    <w:rsid w:val="00771CEC"/>
    <w:rsid w:val="0077212B"/>
    <w:rsid w:val="00773097"/>
    <w:rsid w:val="00773C96"/>
    <w:rsid w:val="00775755"/>
    <w:rsid w:val="007760C9"/>
    <w:rsid w:val="00780151"/>
    <w:rsid w:val="007801A7"/>
    <w:rsid w:val="007804F1"/>
    <w:rsid w:val="0078149C"/>
    <w:rsid w:val="00781A8B"/>
    <w:rsid w:val="00782018"/>
    <w:rsid w:val="00782AEF"/>
    <w:rsid w:val="00784816"/>
    <w:rsid w:val="00785750"/>
    <w:rsid w:val="00786022"/>
    <w:rsid w:val="0078607D"/>
    <w:rsid w:val="0078650B"/>
    <w:rsid w:val="00787366"/>
    <w:rsid w:val="00790E08"/>
    <w:rsid w:val="00790F89"/>
    <w:rsid w:val="007918E8"/>
    <w:rsid w:val="00793DB2"/>
    <w:rsid w:val="00796BAD"/>
    <w:rsid w:val="00796E8C"/>
    <w:rsid w:val="00796FEB"/>
    <w:rsid w:val="007A0DA8"/>
    <w:rsid w:val="007A1740"/>
    <w:rsid w:val="007A1F5C"/>
    <w:rsid w:val="007A296E"/>
    <w:rsid w:val="007A34F5"/>
    <w:rsid w:val="007A38FD"/>
    <w:rsid w:val="007A39F6"/>
    <w:rsid w:val="007A3B2E"/>
    <w:rsid w:val="007A3C6D"/>
    <w:rsid w:val="007A5AE3"/>
    <w:rsid w:val="007A69A5"/>
    <w:rsid w:val="007A6E6E"/>
    <w:rsid w:val="007A7941"/>
    <w:rsid w:val="007B01F1"/>
    <w:rsid w:val="007B037C"/>
    <w:rsid w:val="007B132B"/>
    <w:rsid w:val="007B1B91"/>
    <w:rsid w:val="007B1C31"/>
    <w:rsid w:val="007B2547"/>
    <w:rsid w:val="007B2913"/>
    <w:rsid w:val="007B2E15"/>
    <w:rsid w:val="007B4441"/>
    <w:rsid w:val="007B4B2F"/>
    <w:rsid w:val="007B5797"/>
    <w:rsid w:val="007B5D98"/>
    <w:rsid w:val="007B6184"/>
    <w:rsid w:val="007B7441"/>
    <w:rsid w:val="007B7A3C"/>
    <w:rsid w:val="007C0351"/>
    <w:rsid w:val="007C0481"/>
    <w:rsid w:val="007C11CC"/>
    <w:rsid w:val="007C18ED"/>
    <w:rsid w:val="007C1AF5"/>
    <w:rsid w:val="007C2DE7"/>
    <w:rsid w:val="007C34DB"/>
    <w:rsid w:val="007C4778"/>
    <w:rsid w:val="007C5256"/>
    <w:rsid w:val="007C7979"/>
    <w:rsid w:val="007C7B2B"/>
    <w:rsid w:val="007D0078"/>
    <w:rsid w:val="007D0391"/>
    <w:rsid w:val="007D09D1"/>
    <w:rsid w:val="007D09FA"/>
    <w:rsid w:val="007D0D7B"/>
    <w:rsid w:val="007D12DC"/>
    <w:rsid w:val="007D2637"/>
    <w:rsid w:val="007D29C4"/>
    <w:rsid w:val="007D2C6F"/>
    <w:rsid w:val="007D2C99"/>
    <w:rsid w:val="007D2E77"/>
    <w:rsid w:val="007D39FC"/>
    <w:rsid w:val="007D3BB5"/>
    <w:rsid w:val="007D4916"/>
    <w:rsid w:val="007D4AFD"/>
    <w:rsid w:val="007D4F72"/>
    <w:rsid w:val="007D77FC"/>
    <w:rsid w:val="007E07AF"/>
    <w:rsid w:val="007E09FA"/>
    <w:rsid w:val="007E24DC"/>
    <w:rsid w:val="007E2D91"/>
    <w:rsid w:val="007E2F92"/>
    <w:rsid w:val="007E3CF0"/>
    <w:rsid w:val="007E5693"/>
    <w:rsid w:val="007E56BE"/>
    <w:rsid w:val="007E5E00"/>
    <w:rsid w:val="007E61B8"/>
    <w:rsid w:val="007E6628"/>
    <w:rsid w:val="007E6906"/>
    <w:rsid w:val="007E6981"/>
    <w:rsid w:val="007E6DC2"/>
    <w:rsid w:val="007E6F65"/>
    <w:rsid w:val="007E74BF"/>
    <w:rsid w:val="007E7578"/>
    <w:rsid w:val="007E7DE3"/>
    <w:rsid w:val="007E7F2E"/>
    <w:rsid w:val="007F0501"/>
    <w:rsid w:val="007F1525"/>
    <w:rsid w:val="007F1A7B"/>
    <w:rsid w:val="007F2592"/>
    <w:rsid w:val="007F2926"/>
    <w:rsid w:val="007F3BC3"/>
    <w:rsid w:val="007F5F26"/>
    <w:rsid w:val="007F63DD"/>
    <w:rsid w:val="007F6A54"/>
    <w:rsid w:val="007F6B20"/>
    <w:rsid w:val="007F7602"/>
    <w:rsid w:val="008012BD"/>
    <w:rsid w:val="00801516"/>
    <w:rsid w:val="00801DDA"/>
    <w:rsid w:val="00802900"/>
    <w:rsid w:val="00802B5F"/>
    <w:rsid w:val="00803B06"/>
    <w:rsid w:val="00803B86"/>
    <w:rsid w:val="00804AC6"/>
    <w:rsid w:val="008050CA"/>
    <w:rsid w:val="00805492"/>
    <w:rsid w:val="00806600"/>
    <w:rsid w:val="00806A32"/>
    <w:rsid w:val="00810059"/>
    <w:rsid w:val="00811A76"/>
    <w:rsid w:val="00811FB3"/>
    <w:rsid w:val="00813002"/>
    <w:rsid w:val="0081426F"/>
    <w:rsid w:val="00814431"/>
    <w:rsid w:val="00814609"/>
    <w:rsid w:val="0081510C"/>
    <w:rsid w:val="00815AE4"/>
    <w:rsid w:val="0081602A"/>
    <w:rsid w:val="00816886"/>
    <w:rsid w:val="0081708C"/>
    <w:rsid w:val="008177C6"/>
    <w:rsid w:val="00817A30"/>
    <w:rsid w:val="00817F47"/>
    <w:rsid w:val="008207EA"/>
    <w:rsid w:val="0082110D"/>
    <w:rsid w:val="0082146C"/>
    <w:rsid w:val="008215EF"/>
    <w:rsid w:val="00821F2E"/>
    <w:rsid w:val="008233A0"/>
    <w:rsid w:val="0082391C"/>
    <w:rsid w:val="008246DF"/>
    <w:rsid w:val="00824CE1"/>
    <w:rsid w:val="008255D7"/>
    <w:rsid w:val="008255DF"/>
    <w:rsid w:val="00825D13"/>
    <w:rsid w:val="008260C7"/>
    <w:rsid w:val="008263C5"/>
    <w:rsid w:val="00826F2F"/>
    <w:rsid w:val="00827F30"/>
    <w:rsid w:val="00830070"/>
    <w:rsid w:val="008306E1"/>
    <w:rsid w:val="00834331"/>
    <w:rsid w:val="00834408"/>
    <w:rsid w:val="00835A13"/>
    <w:rsid w:val="00835CD9"/>
    <w:rsid w:val="008369C6"/>
    <w:rsid w:val="00840E5F"/>
    <w:rsid w:val="00841652"/>
    <w:rsid w:val="008439D6"/>
    <w:rsid w:val="00843BBC"/>
    <w:rsid w:val="00844117"/>
    <w:rsid w:val="008446B2"/>
    <w:rsid w:val="00844AC5"/>
    <w:rsid w:val="00844EFD"/>
    <w:rsid w:val="00845D19"/>
    <w:rsid w:val="00845FEF"/>
    <w:rsid w:val="0084646D"/>
    <w:rsid w:val="00846DBE"/>
    <w:rsid w:val="0085129B"/>
    <w:rsid w:val="008515A5"/>
    <w:rsid w:val="00851814"/>
    <w:rsid w:val="00852413"/>
    <w:rsid w:val="00852437"/>
    <w:rsid w:val="008543C1"/>
    <w:rsid w:val="00854558"/>
    <w:rsid w:val="00855115"/>
    <w:rsid w:val="00856268"/>
    <w:rsid w:val="00857FE9"/>
    <w:rsid w:val="008618B5"/>
    <w:rsid w:val="00862850"/>
    <w:rsid w:val="00863283"/>
    <w:rsid w:val="00864928"/>
    <w:rsid w:val="0086494B"/>
    <w:rsid w:val="00864EB6"/>
    <w:rsid w:val="008659CD"/>
    <w:rsid w:val="0086627F"/>
    <w:rsid w:val="008702FB"/>
    <w:rsid w:val="008704F4"/>
    <w:rsid w:val="00870596"/>
    <w:rsid w:val="0087073E"/>
    <w:rsid w:val="00870C82"/>
    <w:rsid w:val="00870F2B"/>
    <w:rsid w:val="00871239"/>
    <w:rsid w:val="00871BF5"/>
    <w:rsid w:val="00871D5F"/>
    <w:rsid w:val="00872421"/>
    <w:rsid w:val="008728E9"/>
    <w:rsid w:val="00872FFC"/>
    <w:rsid w:val="0087585B"/>
    <w:rsid w:val="0087715B"/>
    <w:rsid w:val="00877AAD"/>
    <w:rsid w:val="00880354"/>
    <w:rsid w:val="00880370"/>
    <w:rsid w:val="00880E47"/>
    <w:rsid w:val="00881697"/>
    <w:rsid w:val="0088213A"/>
    <w:rsid w:val="00882854"/>
    <w:rsid w:val="00885105"/>
    <w:rsid w:val="008857E6"/>
    <w:rsid w:val="00886B07"/>
    <w:rsid w:val="00886DB8"/>
    <w:rsid w:val="008927CB"/>
    <w:rsid w:val="00895455"/>
    <w:rsid w:val="0089585B"/>
    <w:rsid w:val="0089604E"/>
    <w:rsid w:val="008A06AC"/>
    <w:rsid w:val="008A0F95"/>
    <w:rsid w:val="008A11C1"/>
    <w:rsid w:val="008A19D3"/>
    <w:rsid w:val="008A1F89"/>
    <w:rsid w:val="008A349E"/>
    <w:rsid w:val="008A3F23"/>
    <w:rsid w:val="008A490B"/>
    <w:rsid w:val="008A73FA"/>
    <w:rsid w:val="008B0F63"/>
    <w:rsid w:val="008B1E15"/>
    <w:rsid w:val="008B3235"/>
    <w:rsid w:val="008B36EA"/>
    <w:rsid w:val="008B5172"/>
    <w:rsid w:val="008B70DB"/>
    <w:rsid w:val="008C075D"/>
    <w:rsid w:val="008C0760"/>
    <w:rsid w:val="008C1595"/>
    <w:rsid w:val="008C1F7E"/>
    <w:rsid w:val="008C313F"/>
    <w:rsid w:val="008C3B98"/>
    <w:rsid w:val="008C3F92"/>
    <w:rsid w:val="008C41B1"/>
    <w:rsid w:val="008C41F5"/>
    <w:rsid w:val="008C4CFC"/>
    <w:rsid w:val="008C5053"/>
    <w:rsid w:val="008C515F"/>
    <w:rsid w:val="008C5201"/>
    <w:rsid w:val="008C56B1"/>
    <w:rsid w:val="008C5B1A"/>
    <w:rsid w:val="008C5F14"/>
    <w:rsid w:val="008C5F96"/>
    <w:rsid w:val="008C62F2"/>
    <w:rsid w:val="008C6B29"/>
    <w:rsid w:val="008D11A2"/>
    <w:rsid w:val="008D1C5B"/>
    <w:rsid w:val="008D1D66"/>
    <w:rsid w:val="008D1F48"/>
    <w:rsid w:val="008D1FEB"/>
    <w:rsid w:val="008D28FF"/>
    <w:rsid w:val="008D2C49"/>
    <w:rsid w:val="008D315F"/>
    <w:rsid w:val="008D4407"/>
    <w:rsid w:val="008D48E8"/>
    <w:rsid w:val="008D4917"/>
    <w:rsid w:val="008D4BE5"/>
    <w:rsid w:val="008D5A78"/>
    <w:rsid w:val="008D6990"/>
    <w:rsid w:val="008E0FDF"/>
    <w:rsid w:val="008E14B0"/>
    <w:rsid w:val="008E206E"/>
    <w:rsid w:val="008E26AF"/>
    <w:rsid w:val="008E2AF8"/>
    <w:rsid w:val="008E32A1"/>
    <w:rsid w:val="008E3A50"/>
    <w:rsid w:val="008E472A"/>
    <w:rsid w:val="008E47C0"/>
    <w:rsid w:val="008E4E0D"/>
    <w:rsid w:val="008E507D"/>
    <w:rsid w:val="008E53B9"/>
    <w:rsid w:val="008E588E"/>
    <w:rsid w:val="008E5AC8"/>
    <w:rsid w:val="008E5F8E"/>
    <w:rsid w:val="008E61E3"/>
    <w:rsid w:val="008F01C7"/>
    <w:rsid w:val="008F1866"/>
    <w:rsid w:val="008F32E8"/>
    <w:rsid w:val="008F4316"/>
    <w:rsid w:val="008F5151"/>
    <w:rsid w:val="008F5B79"/>
    <w:rsid w:val="008F5CF7"/>
    <w:rsid w:val="008F644D"/>
    <w:rsid w:val="008F776A"/>
    <w:rsid w:val="0090135C"/>
    <w:rsid w:val="00901526"/>
    <w:rsid w:val="009018FD"/>
    <w:rsid w:val="00902566"/>
    <w:rsid w:val="00902ADF"/>
    <w:rsid w:val="009039EA"/>
    <w:rsid w:val="00904AD6"/>
    <w:rsid w:val="00904D03"/>
    <w:rsid w:val="0090625F"/>
    <w:rsid w:val="00910786"/>
    <w:rsid w:val="00910D82"/>
    <w:rsid w:val="00911581"/>
    <w:rsid w:val="009118A8"/>
    <w:rsid w:val="0091214F"/>
    <w:rsid w:val="0091241D"/>
    <w:rsid w:val="00913AA0"/>
    <w:rsid w:val="00913AFA"/>
    <w:rsid w:val="00913B99"/>
    <w:rsid w:val="00913D54"/>
    <w:rsid w:val="00914A92"/>
    <w:rsid w:val="009162EC"/>
    <w:rsid w:val="00916362"/>
    <w:rsid w:val="00916410"/>
    <w:rsid w:val="009170B3"/>
    <w:rsid w:val="00917491"/>
    <w:rsid w:val="00922083"/>
    <w:rsid w:val="00922457"/>
    <w:rsid w:val="0092292C"/>
    <w:rsid w:val="0092503F"/>
    <w:rsid w:val="00925855"/>
    <w:rsid w:val="009258A4"/>
    <w:rsid w:val="009258E4"/>
    <w:rsid w:val="00925F72"/>
    <w:rsid w:val="00926E95"/>
    <w:rsid w:val="009278B5"/>
    <w:rsid w:val="00930314"/>
    <w:rsid w:val="009308F4"/>
    <w:rsid w:val="00931BDF"/>
    <w:rsid w:val="00931E0E"/>
    <w:rsid w:val="00933881"/>
    <w:rsid w:val="00933EA0"/>
    <w:rsid w:val="0093541C"/>
    <w:rsid w:val="009357C9"/>
    <w:rsid w:val="009359C4"/>
    <w:rsid w:val="00936B40"/>
    <w:rsid w:val="009370C2"/>
    <w:rsid w:val="0094061C"/>
    <w:rsid w:val="00941622"/>
    <w:rsid w:val="00944A0D"/>
    <w:rsid w:val="00944A12"/>
    <w:rsid w:val="00945087"/>
    <w:rsid w:val="00945321"/>
    <w:rsid w:val="00945AF0"/>
    <w:rsid w:val="0094728A"/>
    <w:rsid w:val="00950972"/>
    <w:rsid w:val="00950986"/>
    <w:rsid w:val="009530F9"/>
    <w:rsid w:val="00953241"/>
    <w:rsid w:val="0095349A"/>
    <w:rsid w:val="009541F9"/>
    <w:rsid w:val="009545D0"/>
    <w:rsid w:val="00956293"/>
    <w:rsid w:val="009567D9"/>
    <w:rsid w:val="00956BD4"/>
    <w:rsid w:val="00957A79"/>
    <w:rsid w:val="0096030D"/>
    <w:rsid w:val="009604EF"/>
    <w:rsid w:val="00960751"/>
    <w:rsid w:val="009618E5"/>
    <w:rsid w:val="0096206D"/>
    <w:rsid w:val="0096250B"/>
    <w:rsid w:val="00962BFF"/>
    <w:rsid w:val="009633CD"/>
    <w:rsid w:val="00964201"/>
    <w:rsid w:val="00964A89"/>
    <w:rsid w:val="009650CF"/>
    <w:rsid w:val="00965C37"/>
    <w:rsid w:val="009664CD"/>
    <w:rsid w:val="009665EB"/>
    <w:rsid w:val="00966DB1"/>
    <w:rsid w:val="00967409"/>
    <w:rsid w:val="0096776F"/>
    <w:rsid w:val="00967C8B"/>
    <w:rsid w:val="00970517"/>
    <w:rsid w:val="00970D25"/>
    <w:rsid w:val="00971545"/>
    <w:rsid w:val="009718A8"/>
    <w:rsid w:val="0097198E"/>
    <w:rsid w:val="00971AA5"/>
    <w:rsid w:val="00971C1E"/>
    <w:rsid w:val="00971DC4"/>
    <w:rsid w:val="009724DB"/>
    <w:rsid w:val="00972524"/>
    <w:rsid w:val="009732BE"/>
    <w:rsid w:val="00973CCB"/>
    <w:rsid w:val="0097504F"/>
    <w:rsid w:val="00976165"/>
    <w:rsid w:val="00977275"/>
    <w:rsid w:val="00977F77"/>
    <w:rsid w:val="0098065E"/>
    <w:rsid w:val="009810CE"/>
    <w:rsid w:val="00981831"/>
    <w:rsid w:val="00981A88"/>
    <w:rsid w:val="009824AB"/>
    <w:rsid w:val="009827C9"/>
    <w:rsid w:val="00982F3F"/>
    <w:rsid w:val="0098386F"/>
    <w:rsid w:val="009838FF"/>
    <w:rsid w:val="00983D9C"/>
    <w:rsid w:val="00983E27"/>
    <w:rsid w:val="0098533F"/>
    <w:rsid w:val="0098549D"/>
    <w:rsid w:val="00985DAD"/>
    <w:rsid w:val="00990304"/>
    <w:rsid w:val="009913CE"/>
    <w:rsid w:val="00992125"/>
    <w:rsid w:val="0099217C"/>
    <w:rsid w:val="009923E6"/>
    <w:rsid w:val="009927BD"/>
    <w:rsid w:val="00992C8D"/>
    <w:rsid w:val="00993972"/>
    <w:rsid w:val="00994797"/>
    <w:rsid w:val="00994AD4"/>
    <w:rsid w:val="00996432"/>
    <w:rsid w:val="009968AC"/>
    <w:rsid w:val="00997BC9"/>
    <w:rsid w:val="009A03B1"/>
    <w:rsid w:val="009A19CE"/>
    <w:rsid w:val="009A1D0B"/>
    <w:rsid w:val="009A2022"/>
    <w:rsid w:val="009A3E50"/>
    <w:rsid w:val="009A5653"/>
    <w:rsid w:val="009A62D5"/>
    <w:rsid w:val="009A6D8F"/>
    <w:rsid w:val="009A6FD5"/>
    <w:rsid w:val="009B0503"/>
    <w:rsid w:val="009B1B5C"/>
    <w:rsid w:val="009B235F"/>
    <w:rsid w:val="009B2B13"/>
    <w:rsid w:val="009B374A"/>
    <w:rsid w:val="009B3FAC"/>
    <w:rsid w:val="009B467C"/>
    <w:rsid w:val="009B46D0"/>
    <w:rsid w:val="009B50DB"/>
    <w:rsid w:val="009B5A0D"/>
    <w:rsid w:val="009B5CC3"/>
    <w:rsid w:val="009B68F1"/>
    <w:rsid w:val="009B6B4E"/>
    <w:rsid w:val="009B6F5E"/>
    <w:rsid w:val="009C321F"/>
    <w:rsid w:val="009C3C31"/>
    <w:rsid w:val="009C4510"/>
    <w:rsid w:val="009C57DD"/>
    <w:rsid w:val="009C688A"/>
    <w:rsid w:val="009C6C18"/>
    <w:rsid w:val="009C76D0"/>
    <w:rsid w:val="009D069F"/>
    <w:rsid w:val="009D0F87"/>
    <w:rsid w:val="009D26AC"/>
    <w:rsid w:val="009D2EFB"/>
    <w:rsid w:val="009D33BC"/>
    <w:rsid w:val="009D4121"/>
    <w:rsid w:val="009D4C76"/>
    <w:rsid w:val="009D6123"/>
    <w:rsid w:val="009D6ECC"/>
    <w:rsid w:val="009D720A"/>
    <w:rsid w:val="009E1524"/>
    <w:rsid w:val="009E15EC"/>
    <w:rsid w:val="009E2017"/>
    <w:rsid w:val="009E20B6"/>
    <w:rsid w:val="009E2133"/>
    <w:rsid w:val="009E39AD"/>
    <w:rsid w:val="009E41DC"/>
    <w:rsid w:val="009E4A4E"/>
    <w:rsid w:val="009E5C05"/>
    <w:rsid w:val="009F161E"/>
    <w:rsid w:val="009F2CEE"/>
    <w:rsid w:val="009F44B9"/>
    <w:rsid w:val="009F5292"/>
    <w:rsid w:val="009F5A10"/>
    <w:rsid w:val="009F60A0"/>
    <w:rsid w:val="009F642E"/>
    <w:rsid w:val="009F664A"/>
    <w:rsid w:val="009F6C7D"/>
    <w:rsid w:val="00A01A77"/>
    <w:rsid w:val="00A02455"/>
    <w:rsid w:val="00A026DB"/>
    <w:rsid w:val="00A02DB2"/>
    <w:rsid w:val="00A034BC"/>
    <w:rsid w:val="00A04CC2"/>
    <w:rsid w:val="00A04E96"/>
    <w:rsid w:val="00A07192"/>
    <w:rsid w:val="00A0764A"/>
    <w:rsid w:val="00A07704"/>
    <w:rsid w:val="00A1196C"/>
    <w:rsid w:val="00A12230"/>
    <w:rsid w:val="00A12255"/>
    <w:rsid w:val="00A13093"/>
    <w:rsid w:val="00A13350"/>
    <w:rsid w:val="00A13F9B"/>
    <w:rsid w:val="00A14191"/>
    <w:rsid w:val="00A144BD"/>
    <w:rsid w:val="00A151E3"/>
    <w:rsid w:val="00A155EE"/>
    <w:rsid w:val="00A163A7"/>
    <w:rsid w:val="00A16621"/>
    <w:rsid w:val="00A17075"/>
    <w:rsid w:val="00A17267"/>
    <w:rsid w:val="00A17D7A"/>
    <w:rsid w:val="00A208AE"/>
    <w:rsid w:val="00A21EE6"/>
    <w:rsid w:val="00A222A2"/>
    <w:rsid w:val="00A23BA0"/>
    <w:rsid w:val="00A240F4"/>
    <w:rsid w:val="00A2577A"/>
    <w:rsid w:val="00A26B44"/>
    <w:rsid w:val="00A26F4C"/>
    <w:rsid w:val="00A3091B"/>
    <w:rsid w:val="00A3095E"/>
    <w:rsid w:val="00A30E75"/>
    <w:rsid w:val="00A32865"/>
    <w:rsid w:val="00A3288D"/>
    <w:rsid w:val="00A32A28"/>
    <w:rsid w:val="00A362FF"/>
    <w:rsid w:val="00A363AA"/>
    <w:rsid w:val="00A366F0"/>
    <w:rsid w:val="00A36A4B"/>
    <w:rsid w:val="00A36E02"/>
    <w:rsid w:val="00A36FAB"/>
    <w:rsid w:val="00A37148"/>
    <w:rsid w:val="00A372C0"/>
    <w:rsid w:val="00A374A3"/>
    <w:rsid w:val="00A4085C"/>
    <w:rsid w:val="00A423D0"/>
    <w:rsid w:val="00A42537"/>
    <w:rsid w:val="00A43D1B"/>
    <w:rsid w:val="00A45963"/>
    <w:rsid w:val="00A50F5C"/>
    <w:rsid w:val="00A51159"/>
    <w:rsid w:val="00A524DF"/>
    <w:rsid w:val="00A5345D"/>
    <w:rsid w:val="00A54A17"/>
    <w:rsid w:val="00A55405"/>
    <w:rsid w:val="00A5568C"/>
    <w:rsid w:val="00A55DA1"/>
    <w:rsid w:val="00A56B69"/>
    <w:rsid w:val="00A5776D"/>
    <w:rsid w:val="00A603B5"/>
    <w:rsid w:val="00A607DA"/>
    <w:rsid w:val="00A61AFD"/>
    <w:rsid w:val="00A61C0E"/>
    <w:rsid w:val="00A61C0F"/>
    <w:rsid w:val="00A6412E"/>
    <w:rsid w:val="00A64825"/>
    <w:rsid w:val="00A655C4"/>
    <w:rsid w:val="00A65A85"/>
    <w:rsid w:val="00A65F3E"/>
    <w:rsid w:val="00A6764E"/>
    <w:rsid w:val="00A67A45"/>
    <w:rsid w:val="00A70131"/>
    <w:rsid w:val="00A71128"/>
    <w:rsid w:val="00A71996"/>
    <w:rsid w:val="00A71ACC"/>
    <w:rsid w:val="00A71B9E"/>
    <w:rsid w:val="00A72E6F"/>
    <w:rsid w:val="00A736D4"/>
    <w:rsid w:val="00A73A4D"/>
    <w:rsid w:val="00A745AF"/>
    <w:rsid w:val="00A7706B"/>
    <w:rsid w:val="00A815C4"/>
    <w:rsid w:val="00A818D7"/>
    <w:rsid w:val="00A83BF2"/>
    <w:rsid w:val="00A84CBE"/>
    <w:rsid w:val="00A854D4"/>
    <w:rsid w:val="00A85741"/>
    <w:rsid w:val="00A865B9"/>
    <w:rsid w:val="00A86F1B"/>
    <w:rsid w:val="00A87101"/>
    <w:rsid w:val="00A87506"/>
    <w:rsid w:val="00A875EB"/>
    <w:rsid w:val="00A87D3F"/>
    <w:rsid w:val="00A90AE8"/>
    <w:rsid w:val="00A90FC8"/>
    <w:rsid w:val="00A91464"/>
    <w:rsid w:val="00A9263B"/>
    <w:rsid w:val="00A92D92"/>
    <w:rsid w:val="00A92EB5"/>
    <w:rsid w:val="00A931BC"/>
    <w:rsid w:val="00A94682"/>
    <w:rsid w:val="00A94988"/>
    <w:rsid w:val="00A95377"/>
    <w:rsid w:val="00A9558C"/>
    <w:rsid w:val="00A97D77"/>
    <w:rsid w:val="00AA0FC5"/>
    <w:rsid w:val="00AA121E"/>
    <w:rsid w:val="00AA28B1"/>
    <w:rsid w:val="00AA4361"/>
    <w:rsid w:val="00AA46CC"/>
    <w:rsid w:val="00AA4A4B"/>
    <w:rsid w:val="00AA5983"/>
    <w:rsid w:val="00AA59DB"/>
    <w:rsid w:val="00AA5ED2"/>
    <w:rsid w:val="00AA6045"/>
    <w:rsid w:val="00AA62D0"/>
    <w:rsid w:val="00AA698A"/>
    <w:rsid w:val="00AA7868"/>
    <w:rsid w:val="00AA7A83"/>
    <w:rsid w:val="00AB0265"/>
    <w:rsid w:val="00AB0F81"/>
    <w:rsid w:val="00AB24EB"/>
    <w:rsid w:val="00AB30C5"/>
    <w:rsid w:val="00AB3130"/>
    <w:rsid w:val="00AB4F18"/>
    <w:rsid w:val="00AB5469"/>
    <w:rsid w:val="00AB5CA2"/>
    <w:rsid w:val="00AB5CE2"/>
    <w:rsid w:val="00AB67A1"/>
    <w:rsid w:val="00AB6B22"/>
    <w:rsid w:val="00AC0188"/>
    <w:rsid w:val="00AC0197"/>
    <w:rsid w:val="00AC05D7"/>
    <w:rsid w:val="00AC1565"/>
    <w:rsid w:val="00AC2FB6"/>
    <w:rsid w:val="00AC35CD"/>
    <w:rsid w:val="00AC3F23"/>
    <w:rsid w:val="00AC5115"/>
    <w:rsid w:val="00AC617B"/>
    <w:rsid w:val="00AC63BE"/>
    <w:rsid w:val="00AD0335"/>
    <w:rsid w:val="00AD1620"/>
    <w:rsid w:val="00AD1CCE"/>
    <w:rsid w:val="00AD2C9A"/>
    <w:rsid w:val="00AD2ECF"/>
    <w:rsid w:val="00AD4396"/>
    <w:rsid w:val="00AD57BA"/>
    <w:rsid w:val="00AD7988"/>
    <w:rsid w:val="00AD7FE9"/>
    <w:rsid w:val="00AE1819"/>
    <w:rsid w:val="00AE1C7F"/>
    <w:rsid w:val="00AE217E"/>
    <w:rsid w:val="00AE26B1"/>
    <w:rsid w:val="00AE3993"/>
    <w:rsid w:val="00AE49E0"/>
    <w:rsid w:val="00AE5884"/>
    <w:rsid w:val="00AE770F"/>
    <w:rsid w:val="00AF0330"/>
    <w:rsid w:val="00AF0AF0"/>
    <w:rsid w:val="00AF3537"/>
    <w:rsid w:val="00AF4487"/>
    <w:rsid w:val="00AF46D2"/>
    <w:rsid w:val="00AF4BE9"/>
    <w:rsid w:val="00B022D4"/>
    <w:rsid w:val="00B038C2"/>
    <w:rsid w:val="00B04121"/>
    <w:rsid w:val="00B05455"/>
    <w:rsid w:val="00B054B1"/>
    <w:rsid w:val="00B05692"/>
    <w:rsid w:val="00B056BC"/>
    <w:rsid w:val="00B05CCF"/>
    <w:rsid w:val="00B1086A"/>
    <w:rsid w:val="00B10CE4"/>
    <w:rsid w:val="00B11409"/>
    <w:rsid w:val="00B12954"/>
    <w:rsid w:val="00B13584"/>
    <w:rsid w:val="00B1422B"/>
    <w:rsid w:val="00B142DA"/>
    <w:rsid w:val="00B1578B"/>
    <w:rsid w:val="00B172D3"/>
    <w:rsid w:val="00B208BE"/>
    <w:rsid w:val="00B20DAF"/>
    <w:rsid w:val="00B22B91"/>
    <w:rsid w:val="00B22E02"/>
    <w:rsid w:val="00B2439C"/>
    <w:rsid w:val="00B25673"/>
    <w:rsid w:val="00B2569C"/>
    <w:rsid w:val="00B25BD7"/>
    <w:rsid w:val="00B26894"/>
    <w:rsid w:val="00B26B2F"/>
    <w:rsid w:val="00B26C14"/>
    <w:rsid w:val="00B27087"/>
    <w:rsid w:val="00B27F94"/>
    <w:rsid w:val="00B307AC"/>
    <w:rsid w:val="00B31FB3"/>
    <w:rsid w:val="00B33F43"/>
    <w:rsid w:val="00B34766"/>
    <w:rsid w:val="00B34AA8"/>
    <w:rsid w:val="00B3522C"/>
    <w:rsid w:val="00B3537C"/>
    <w:rsid w:val="00B36404"/>
    <w:rsid w:val="00B37114"/>
    <w:rsid w:val="00B3723C"/>
    <w:rsid w:val="00B37BDC"/>
    <w:rsid w:val="00B37F3A"/>
    <w:rsid w:val="00B42124"/>
    <w:rsid w:val="00B43F1C"/>
    <w:rsid w:val="00B44239"/>
    <w:rsid w:val="00B4523B"/>
    <w:rsid w:val="00B45297"/>
    <w:rsid w:val="00B454CD"/>
    <w:rsid w:val="00B47355"/>
    <w:rsid w:val="00B47606"/>
    <w:rsid w:val="00B47A28"/>
    <w:rsid w:val="00B47B55"/>
    <w:rsid w:val="00B50366"/>
    <w:rsid w:val="00B514E4"/>
    <w:rsid w:val="00B51561"/>
    <w:rsid w:val="00B51A8E"/>
    <w:rsid w:val="00B51B0F"/>
    <w:rsid w:val="00B52962"/>
    <w:rsid w:val="00B535A8"/>
    <w:rsid w:val="00B54CC9"/>
    <w:rsid w:val="00B55BC5"/>
    <w:rsid w:val="00B5639C"/>
    <w:rsid w:val="00B564A3"/>
    <w:rsid w:val="00B565B2"/>
    <w:rsid w:val="00B56734"/>
    <w:rsid w:val="00B56B89"/>
    <w:rsid w:val="00B57666"/>
    <w:rsid w:val="00B577CD"/>
    <w:rsid w:val="00B60463"/>
    <w:rsid w:val="00B60F15"/>
    <w:rsid w:val="00B6184A"/>
    <w:rsid w:val="00B61923"/>
    <w:rsid w:val="00B63105"/>
    <w:rsid w:val="00B658F8"/>
    <w:rsid w:val="00B65A8B"/>
    <w:rsid w:val="00B65A9C"/>
    <w:rsid w:val="00B65D44"/>
    <w:rsid w:val="00B670C5"/>
    <w:rsid w:val="00B6735C"/>
    <w:rsid w:val="00B679C6"/>
    <w:rsid w:val="00B71944"/>
    <w:rsid w:val="00B72B80"/>
    <w:rsid w:val="00B73727"/>
    <w:rsid w:val="00B73C40"/>
    <w:rsid w:val="00B7409B"/>
    <w:rsid w:val="00B74285"/>
    <w:rsid w:val="00B74637"/>
    <w:rsid w:val="00B74650"/>
    <w:rsid w:val="00B75ADA"/>
    <w:rsid w:val="00B75F44"/>
    <w:rsid w:val="00B76B83"/>
    <w:rsid w:val="00B80F9D"/>
    <w:rsid w:val="00B846ED"/>
    <w:rsid w:val="00B84B5E"/>
    <w:rsid w:val="00B84F95"/>
    <w:rsid w:val="00B852FF"/>
    <w:rsid w:val="00B854C0"/>
    <w:rsid w:val="00B8583F"/>
    <w:rsid w:val="00B86104"/>
    <w:rsid w:val="00B86B27"/>
    <w:rsid w:val="00B86E35"/>
    <w:rsid w:val="00B87152"/>
    <w:rsid w:val="00B87E6C"/>
    <w:rsid w:val="00B903BA"/>
    <w:rsid w:val="00B9238D"/>
    <w:rsid w:val="00B92855"/>
    <w:rsid w:val="00B92E47"/>
    <w:rsid w:val="00B93836"/>
    <w:rsid w:val="00B93D48"/>
    <w:rsid w:val="00B944CE"/>
    <w:rsid w:val="00B946E3"/>
    <w:rsid w:val="00B95068"/>
    <w:rsid w:val="00B95CCB"/>
    <w:rsid w:val="00B971FF"/>
    <w:rsid w:val="00B977BA"/>
    <w:rsid w:val="00BA1804"/>
    <w:rsid w:val="00BA27EA"/>
    <w:rsid w:val="00BA370A"/>
    <w:rsid w:val="00BA38E3"/>
    <w:rsid w:val="00BA4D8A"/>
    <w:rsid w:val="00BA6521"/>
    <w:rsid w:val="00BB06EF"/>
    <w:rsid w:val="00BB1515"/>
    <w:rsid w:val="00BB2E79"/>
    <w:rsid w:val="00BB3202"/>
    <w:rsid w:val="00BB3C8E"/>
    <w:rsid w:val="00BB40A0"/>
    <w:rsid w:val="00BB41DC"/>
    <w:rsid w:val="00BB45C7"/>
    <w:rsid w:val="00BB7153"/>
    <w:rsid w:val="00BB7222"/>
    <w:rsid w:val="00BB7E88"/>
    <w:rsid w:val="00BC0472"/>
    <w:rsid w:val="00BC23D3"/>
    <w:rsid w:val="00BC2545"/>
    <w:rsid w:val="00BC27C4"/>
    <w:rsid w:val="00BC375E"/>
    <w:rsid w:val="00BC43CE"/>
    <w:rsid w:val="00BC637C"/>
    <w:rsid w:val="00BC6BF2"/>
    <w:rsid w:val="00BC7D35"/>
    <w:rsid w:val="00BD011A"/>
    <w:rsid w:val="00BD1535"/>
    <w:rsid w:val="00BD183E"/>
    <w:rsid w:val="00BD26D3"/>
    <w:rsid w:val="00BD2B1D"/>
    <w:rsid w:val="00BD2F94"/>
    <w:rsid w:val="00BD3055"/>
    <w:rsid w:val="00BD368B"/>
    <w:rsid w:val="00BD4003"/>
    <w:rsid w:val="00BD430A"/>
    <w:rsid w:val="00BD46DA"/>
    <w:rsid w:val="00BD4723"/>
    <w:rsid w:val="00BD5589"/>
    <w:rsid w:val="00BD56A1"/>
    <w:rsid w:val="00BD6D39"/>
    <w:rsid w:val="00BD700D"/>
    <w:rsid w:val="00BD7172"/>
    <w:rsid w:val="00BD734E"/>
    <w:rsid w:val="00BE1932"/>
    <w:rsid w:val="00BE1D98"/>
    <w:rsid w:val="00BE2547"/>
    <w:rsid w:val="00BE35F7"/>
    <w:rsid w:val="00BE4657"/>
    <w:rsid w:val="00BE5879"/>
    <w:rsid w:val="00BE6542"/>
    <w:rsid w:val="00BE6A7E"/>
    <w:rsid w:val="00BF06E3"/>
    <w:rsid w:val="00BF0CA2"/>
    <w:rsid w:val="00BF264A"/>
    <w:rsid w:val="00BF3C5B"/>
    <w:rsid w:val="00BF5E8C"/>
    <w:rsid w:val="00BF6A4F"/>
    <w:rsid w:val="00C0056C"/>
    <w:rsid w:val="00C00A05"/>
    <w:rsid w:val="00C0180A"/>
    <w:rsid w:val="00C022F6"/>
    <w:rsid w:val="00C0293E"/>
    <w:rsid w:val="00C03271"/>
    <w:rsid w:val="00C036C0"/>
    <w:rsid w:val="00C03DFD"/>
    <w:rsid w:val="00C0640C"/>
    <w:rsid w:val="00C066E7"/>
    <w:rsid w:val="00C109A5"/>
    <w:rsid w:val="00C10F63"/>
    <w:rsid w:val="00C1170D"/>
    <w:rsid w:val="00C118E5"/>
    <w:rsid w:val="00C118FA"/>
    <w:rsid w:val="00C13083"/>
    <w:rsid w:val="00C13E9A"/>
    <w:rsid w:val="00C14045"/>
    <w:rsid w:val="00C14B6D"/>
    <w:rsid w:val="00C14F1D"/>
    <w:rsid w:val="00C155FE"/>
    <w:rsid w:val="00C15AB2"/>
    <w:rsid w:val="00C15ABF"/>
    <w:rsid w:val="00C160AF"/>
    <w:rsid w:val="00C165C7"/>
    <w:rsid w:val="00C17C31"/>
    <w:rsid w:val="00C21753"/>
    <w:rsid w:val="00C21BA3"/>
    <w:rsid w:val="00C2206D"/>
    <w:rsid w:val="00C2224E"/>
    <w:rsid w:val="00C22256"/>
    <w:rsid w:val="00C2310E"/>
    <w:rsid w:val="00C25455"/>
    <w:rsid w:val="00C2581C"/>
    <w:rsid w:val="00C2594B"/>
    <w:rsid w:val="00C260D1"/>
    <w:rsid w:val="00C2641B"/>
    <w:rsid w:val="00C2667B"/>
    <w:rsid w:val="00C30D68"/>
    <w:rsid w:val="00C31F4D"/>
    <w:rsid w:val="00C3288B"/>
    <w:rsid w:val="00C32DA2"/>
    <w:rsid w:val="00C341A5"/>
    <w:rsid w:val="00C361D7"/>
    <w:rsid w:val="00C36714"/>
    <w:rsid w:val="00C4123E"/>
    <w:rsid w:val="00C42100"/>
    <w:rsid w:val="00C51B75"/>
    <w:rsid w:val="00C52244"/>
    <w:rsid w:val="00C52EDD"/>
    <w:rsid w:val="00C52F08"/>
    <w:rsid w:val="00C536CA"/>
    <w:rsid w:val="00C53CB1"/>
    <w:rsid w:val="00C54E59"/>
    <w:rsid w:val="00C553BB"/>
    <w:rsid w:val="00C55549"/>
    <w:rsid w:val="00C6123A"/>
    <w:rsid w:val="00C61BFF"/>
    <w:rsid w:val="00C6236D"/>
    <w:rsid w:val="00C629CF"/>
    <w:rsid w:val="00C62D5D"/>
    <w:rsid w:val="00C631C9"/>
    <w:rsid w:val="00C6388D"/>
    <w:rsid w:val="00C63B81"/>
    <w:rsid w:val="00C65182"/>
    <w:rsid w:val="00C65468"/>
    <w:rsid w:val="00C65F31"/>
    <w:rsid w:val="00C677C9"/>
    <w:rsid w:val="00C70CDB"/>
    <w:rsid w:val="00C713AA"/>
    <w:rsid w:val="00C7226F"/>
    <w:rsid w:val="00C72532"/>
    <w:rsid w:val="00C7272F"/>
    <w:rsid w:val="00C72ABF"/>
    <w:rsid w:val="00C72D19"/>
    <w:rsid w:val="00C75255"/>
    <w:rsid w:val="00C75304"/>
    <w:rsid w:val="00C7539B"/>
    <w:rsid w:val="00C762FC"/>
    <w:rsid w:val="00C7671E"/>
    <w:rsid w:val="00C77359"/>
    <w:rsid w:val="00C77708"/>
    <w:rsid w:val="00C8022F"/>
    <w:rsid w:val="00C8099E"/>
    <w:rsid w:val="00C81093"/>
    <w:rsid w:val="00C818AE"/>
    <w:rsid w:val="00C822C2"/>
    <w:rsid w:val="00C834E7"/>
    <w:rsid w:val="00C83744"/>
    <w:rsid w:val="00C84939"/>
    <w:rsid w:val="00C853A2"/>
    <w:rsid w:val="00C85A64"/>
    <w:rsid w:val="00C862FF"/>
    <w:rsid w:val="00C87328"/>
    <w:rsid w:val="00C87A59"/>
    <w:rsid w:val="00C9038D"/>
    <w:rsid w:val="00C90558"/>
    <w:rsid w:val="00C9074A"/>
    <w:rsid w:val="00C91E01"/>
    <w:rsid w:val="00C91E77"/>
    <w:rsid w:val="00C92E96"/>
    <w:rsid w:val="00C9375B"/>
    <w:rsid w:val="00C950DA"/>
    <w:rsid w:val="00C95C56"/>
    <w:rsid w:val="00CA0B26"/>
    <w:rsid w:val="00CA1E64"/>
    <w:rsid w:val="00CA2E93"/>
    <w:rsid w:val="00CA325A"/>
    <w:rsid w:val="00CA3453"/>
    <w:rsid w:val="00CA430A"/>
    <w:rsid w:val="00CA4870"/>
    <w:rsid w:val="00CA4AB4"/>
    <w:rsid w:val="00CA4EA1"/>
    <w:rsid w:val="00CA6A73"/>
    <w:rsid w:val="00CA6AF8"/>
    <w:rsid w:val="00CA6BE4"/>
    <w:rsid w:val="00CA76FA"/>
    <w:rsid w:val="00CB06EF"/>
    <w:rsid w:val="00CB1B3B"/>
    <w:rsid w:val="00CB1C66"/>
    <w:rsid w:val="00CB2243"/>
    <w:rsid w:val="00CB28B9"/>
    <w:rsid w:val="00CB28C9"/>
    <w:rsid w:val="00CB45AC"/>
    <w:rsid w:val="00CB4BC9"/>
    <w:rsid w:val="00CB4D21"/>
    <w:rsid w:val="00CB5311"/>
    <w:rsid w:val="00CB6BAD"/>
    <w:rsid w:val="00CB6E46"/>
    <w:rsid w:val="00CB733A"/>
    <w:rsid w:val="00CC1191"/>
    <w:rsid w:val="00CC1399"/>
    <w:rsid w:val="00CC1AFF"/>
    <w:rsid w:val="00CC1E7B"/>
    <w:rsid w:val="00CC2769"/>
    <w:rsid w:val="00CC3684"/>
    <w:rsid w:val="00CC36BF"/>
    <w:rsid w:val="00CC407B"/>
    <w:rsid w:val="00CC40C2"/>
    <w:rsid w:val="00CC4547"/>
    <w:rsid w:val="00CC53F2"/>
    <w:rsid w:val="00CC580E"/>
    <w:rsid w:val="00CC5850"/>
    <w:rsid w:val="00CC6EA0"/>
    <w:rsid w:val="00CC77E8"/>
    <w:rsid w:val="00CC7AA2"/>
    <w:rsid w:val="00CD0096"/>
    <w:rsid w:val="00CD0C9C"/>
    <w:rsid w:val="00CD192A"/>
    <w:rsid w:val="00CD1FC3"/>
    <w:rsid w:val="00CD2D48"/>
    <w:rsid w:val="00CD394C"/>
    <w:rsid w:val="00CD3E61"/>
    <w:rsid w:val="00CE0374"/>
    <w:rsid w:val="00CE052A"/>
    <w:rsid w:val="00CE0B7A"/>
    <w:rsid w:val="00CE491D"/>
    <w:rsid w:val="00CE4AD7"/>
    <w:rsid w:val="00CE6F77"/>
    <w:rsid w:val="00CE736F"/>
    <w:rsid w:val="00CE7823"/>
    <w:rsid w:val="00CF0045"/>
    <w:rsid w:val="00CF09A8"/>
    <w:rsid w:val="00CF0FDA"/>
    <w:rsid w:val="00CF29D4"/>
    <w:rsid w:val="00CF2ABA"/>
    <w:rsid w:val="00CF3652"/>
    <w:rsid w:val="00CF5227"/>
    <w:rsid w:val="00CF53C6"/>
    <w:rsid w:val="00CF6381"/>
    <w:rsid w:val="00CF6DC8"/>
    <w:rsid w:val="00CF7556"/>
    <w:rsid w:val="00D0092A"/>
    <w:rsid w:val="00D01011"/>
    <w:rsid w:val="00D027AF"/>
    <w:rsid w:val="00D02A56"/>
    <w:rsid w:val="00D0346F"/>
    <w:rsid w:val="00D04521"/>
    <w:rsid w:val="00D04A1A"/>
    <w:rsid w:val="00D05984"/>
    <w:rsid w:val="00D07260"/>
    <w:rsid w:val="00D1147A"/>
    <w:rsid w:val="00D1180A"/>
    <w:rsid w:val="00D12EFF"/>
    <w:rsid w:val="00D134F0"/>
    <w:rsid w:val="00D13E8A"/>
    <w:rsid w:val="00D13F0C"/>
    <w:rsid w:val="00D14F7D"/>
    <w:rsid w:val="00D17162"/>
    <w:rsid w:val="00D17535"/>
    <w:rsid w:val="00D17B30"/>
    <w:rsid w:val="00D22AC3"/>
    <w:rsid w:val="00D2336F"/>
    <w:rsid w:val="00D23502"/>
    <w:rsid w:val="00D23ADF"/>
    <w:rsid w:val="00D23B19"/>
    <w:rsid w:val="00D24EB9"/>
    <w:rsid w:val="00D25D5C"/>
    <w:rsid w:val="00D309AB"/>
    <w:rsid w:val="00D31864"/>
    <w:rsid w:val="00D33CB3"/>
    <w:rsid w:val="00D33E89"/>
    <w:rsid w:val="00D35486"/>
    <w:rsid w:val="00D3648B"/>
    <w:rsid w:val="00D3734B"/>
    <w:rsid w:val="00D3741E"/>
    <w:rsid w:val="00D4057D"/>
    <w:rsid w:val="00D40759"/>
    <w:rsid w:val="00D43607"/>
    <w:rsid w:val="00D43967"/>
    <w:rsid w:val="00D4429D"/>
    <w:rsid w:val="00D44D0C"/>
    <w:rsid w:val="00D45776"/>
    <w:rsid w:val="00D458F5"/>
    <w:rsid w:val="00D459F5"/>
    <w:rsid w:val="00D45FF8"/>
    <w:rsid w:val="00D46F5F"/>
    <w:rsid w:val="00D476BE"/>
    <w:rsid w:val="00D47D26"/>
    <w:rsid w:val="00D51597"/>
    <w:rsid w:val="00D516AA"/>
    <w:rsid w:val="00D518AF"/>
    <w:rsid w:val="00D51AAC"/>
    <w:rsid w:val="00D52416"/>
    <w:rsid w:val="00D525E5"/>
    <w:rsid w:val="00D53030"/>
    <w:rsid w:val="00D53DDF"/>
    <w:rsid w:val="00D5465B"/>
    <w:rsid w:val="00D556D7"/>
    <w:rsid w:val="00D55BD8"/>
    <w:rsid w:val="00D56365"/>
    <w:rsid w:val="00D5655E"/>
    <w:rsid w:val="00D56FDB"/>
    <w:rsid w:val="00D575CC"/>
    <w:rsid w:val="00D60550"/>
    <w:rsid w:val="00D610F8"/>
    <w:rsid w:val="00D6186B"/>
    <w:rsid w:val="00D61D49"/>
    <w:rsid w:val="00D63214"/>
    <w:rsid w:val="00D6344E"/>
    <w:rsid w:val="00D6534E"/>
    <w:rsid w:val="00D676F4"/>
    <w:rsid w:val="00D679CA"/>
    <w:rsid w:val="00D70D23"/>
    <w:rsid w:val="00D7107C"/>
    <w:rsid w:val="00D71BDD"/>
    <w:rsid w:val="00D71EEB"/>
    <w:rsid w:val="00D733DF"/>
    <w:rsid w:val="00D73BCC"/>
    <w:rsid w:val="00D7418C"/>
    <w:rsid w:val="00D768AB"/>
    <w:rsid w:val="00D76D43"/>
    <w:rsid w:val="00D775E6"/>
    <w:rsid w:val="00D77D37"/>
    <w:rsid w:val="00D800DD"/>
    <w:rsid w:val="00D806AA"/>
    <w:rsid w:val="00D8109F"/>
    <w:rsid w:val="00D810B3"/>
    <w:rsid w:val="00D8119D"/>
    <w:rsid w:val="00D82D56"/>
    <w:rsid w:val="00D842E2"/>
    <w:rsid w:val="00D8531D"/>
    <w:rsid w:val="00D85595"/>
    <w:rsid w:val="00D86347"/>
    <w:rsid w:val="00D873CE"/>
    <w:rsid w:val="00D87718"/>
    <w:rsid w:val="00D87B41"/>
    <w:rsid w:val="00D87EF5"/>
    <w:rsid w:val="00D903CE"/>
    <w:rsid w:val="00D905FB"/>
    <w:rsid w:val="00D91424"/>
    <w:rsid w:val="00D915C9"/>
    <w:rsid w:val="00D91D6F"/>
    <w:rsid w:val="00D92BB1"/>
    <w:rsid w:val="00D92D60"/>
    <w:rsid w:val="00D93F02"/>
    <w:rsid w:val="00D94E84"/>
    <w:rsid w:val="00D955E6"/>
    <w:rsid w:val="00D9581A"/>
    <w:rsid w:val="00D96B16"/>
    <w:rsid w:val="00D96DB6"/>
    <w:rsid w:val="00D972F7"/>
    <w:rsid w:val="00DA0FB9"/>
    <w:rsid w:val="00DA1AC1"/>
    <w:rsid w:val="00DA2205"/>
    <w:rsid w:val="00DA2662"/>
    <w:rsid w:val="00DA26A7"/>
    <w:rsid w:val="00DA2A11"/>
    <w:rsid w:val="00DA2E4C"/>
    <w:rsid w:val="00DA3290"/>
    <w:rsid w:val="00DA361F"/>
    <w:rsid w:val="00DA4FCD"/>
    <w:rsid w:val="00DA5236"/>
    <w:rsid w:val="00DA65D0"/>
    <w:rsid w:val="00DA7149"/>
    <w:rsid w:val="00DA750E"/>
    <w:rsid w:val="00DA7945"/>
    <w:rsid w:val="00DB06DF"/>
    <w:rsid w:val="00DB1090"/>
    <w:rsid w:val="00DB17AB"/>
    <w:rsid w:val="00DB246E"/>
    <w:rsid w:val="00DB2D54"/>
    <w:rsid w:val="00DB355F"/>
    <w:rsid w:val="00DB36B2"/>
    <w:rsid w:val="00DB37A3"/>
    <w:rsid w:val="00DB38FC"/>
    <w:rsid w:val="00DB3E44"/>
    <w:rsid w:val="00DB3EA8"/>
    <w:rsid w:val="00DB5B47"/>
    <w:rsid w:val="00DB60BB"/>
    <w:rsid w:val="00DB654B"/>
    <w:rsid w:val="00DB66FB"/>
    <w:rsid w:val="00DB72A4"/>
    <w:rsid w:val="00DC023B"/>
    <w:rsid w:val="00DC04BD"/>
    <w:rsid w:val="00DC1958"/>
    <w:rsid w:val="00DC209A"/>
    <w:rsid w:val="00DC3331"/>
    <w:rsid w:val="00DC3BE3"/>
    <w:rsid w:val="00DC6969"/>
    <w:rsid w:val="00DC76B4"/>
    <w:rsid w:val="00DC7EF4"/>
    <w:rsid w:val="00DD131B"/>
    <w:rsid w:val="00DD2032"/>
    <w:rsid w:val="00DD3628"/>
    <w:rsid w:val="00DD3726"/>
    <w:rsid w:val="00DD379E"/>
    <w:rsid w:val="00DD5D3C"/>
    <w:rsid w:val="00DD691D"/>
    <w:rsid w:val="00DD7502"/>
    <w:rsid w:val="00DD7F80"/>
    <w:rsid w:val="00DE03D0"/>
    <w:rsid w:val="00DE08B5"/>
    <w:rsid w:val="00DE1DEB"/>
    <w:rsid w:val="00DE1E96"/>
    <w:rsid w:val="00DE22E8"/>
    <w:rsid w:val="00DE2B2B"/>
    <w:rsid w:val="00DE3490"/>
    <w:rsid w:val="00DE4154"/>
    <w:rsid w:val="00DE5495"/>
    <w:rsid w:val="00DE5868"/>
    <w:rsid w:val="00DE5ABF"/>
    <w:rsid w:val="00DE7899"/>
    <w:rsid w:val="00DF1033"/>
    <w:rsid w:val="00DF1E2C"/>
    <w:rsid w:val="00DF1EF5"/>
    <w:rsid w:val="00DF2E73"/>
    <w:rsid w:val="00DF5E9B"/>
    <w:rsid w:val="00DF6342"/>
    <w:rsid w:val="00DF67E9"/>
    <w:rsid w:val="00DF74EE"/>
    <w:rsid w:val="00E006EF"/>
    <w:rsid w:val="00E00782"/>
    <w:rsid w:val="00E00E23"/>
    <w:rsid w:val="00E017DF"/>
    <w:rsid w:val="00E02CD1"/>
    <w:rsid w:val="00E03403"/>
    <w:rsid w:val="00E04844"/>
    <w:rsid w:val="00E05A4A"/>
    <w:rsid w:val="00E05B2B"/>
    <w:rsid w:val="00E106FC"/>
    <w:rsid w:val="00E107F4"/>
    <w:rsid w:val="00E110F8"/>
    <w:rsid w:val="00E1212B"/>
    <w:rsid w:val="00E13444"/>
    <w:rsid w:val="00E145F0"/>
    <w:rsid w:val="00E14C86"/>
    <w:rsid w:val="00E15EB7"/>
    <w:rsid w:val="00E164BA"/>
    <w:rsid w:val="00E17889"/>
    <w:rsid w:val="00E230DE"/>
    <w:rsid w:val="00E23763"/>
    <w:rsid w:val="00E24636"/>
    <w:rsid w:val="00E24DB4"/>
    <w:rsid w:val="00E25863"/>
    <w:rsid w:val="00E25A5A"/>
    <w:rsid w:val="00E267E9"/>
    <w:rsid w:val="00E27268"/>
    <w:rsid w:val="00E27D3A"/>
    <w:rsid w:val="00E27E46"/>
    <w:rsid w:val="00E3187B"/>
    <w:rsid w:val="00E32114"/>
    <w:rsid w:val="00E323DC"/>
    <w:rsid w:val="00E33578"/>
    <w:rsid w:val="00E335CD"/>
    <w:rsid w:val="00E33788"/>
    <w:rsid w:val="00E344E6"/>
    <w:rsid w:val="00E3470B"/>
    <w:rsid w:val="00E34C8D"/>
    <w:rsid w:val="00E34D5D"/>
    <w:rsid w:val="00E3534E"/>
    <w:rsid w:val="00E355B5"/>
    <w:rsid w:val="00E35993"/>
    <w:rsid w:val="00E359D7"/>
    <w:rsid w:val="00E35D86"/>
    <w:rsid w:val="00E36502"/>
    <w:rsid w:val="00E36D84"/>
    <w:rsid w:val="00E37EC9"/>
    <w:rsid w:val="00E40D55"/>
    <w:rsid w:val="00E4104E"/>
    <w:rsid w:val="00E413DF"/>
    <w:rsid w:val="00E44F38"/>
    <w:rsid w:val="00E45791"/>
    <w:rsid w:val="00E462C0"/>
    <w:rsid w:val="00E51278"/>
    <w:rsid w:val="00E51AD5"/>
    <w:rsid w:val="00E51ED8"/>
    <w:rsid w:val="00E520D7"/>
    <w:rsid w:val="00E52F90"/>
    <w:rsid w:val="00E535DB"/>
    <w:rsid w:val="00E542C7"/>
    <w:rsid w:val="00E54601"/>
    <w:rsid w:val="00E54E51"/>
    <w:rsid w:val="00E54F18"/>
    <w:rsid w:val="00E55085"/>
    <w:rsid w:val="00E5610B"/>
    <w:rsid w:val="00E56811"/>
    <w:rsid w:val="00E5722C"/>
    <w:rsid w:val="00E577DD"/>
    <w:rsid w:val="00E600BE"/>
    <w:rsid w:val="00E61AAD"/>
    <w:rsid w:val="00E61B04"/>
    <w:rsid w:val="00E61D42"/>
    <w:rsid w:val="00E62412"/>
    <w:rsid w:val="00E62EC1"/>
    <w:rsid w:val="00E6445D"/>
    <w:rsid w:val="00E651BE"/>
    <w:rsid w:val="00E65A9C"/>
    <w:rsid w:val="00E65F8C"/>
    <w:rsid w:val="00E661D1"/>
    <w:rsid w:val="00E6741C"/>
    <w:rsid w:val="00E67F96"/>
    <w:rsid w:val="00E70017"/>
    <w:rsid w:val="00E70513"/>
    <w:rsid w:val="00E70922"/>
    <w:rsid w:val="00E70B42"/>
    <w:rsid w:val="00E70F47"/>
    <w:rsid w:val="00E71792"/>
    <w:rsid w:val="00E71D0C"/>
    <w:rsid w:val="00E7210A"/>
    <w:rsid w:val="00E721C3"/>
    <w:rsid w:val="00E7233C"/>
    <w:rsid w:val="00E72532"/>
    <w:rsid w:val="00E73D8A"/>
    <w:rsid w:val="00E74964"/>
    <w:rsid w:val="00E75A99"/>
    <w:rsid w:val="00E76253"/>
    <w:rsid w:val="00E77123"/>
    <w:rsid w:val="00E80106"/>
    <w:rsid w:val="00E807AE"/>
    <w:rsid w:val="00E80872"/>
    <w:rsid w:val="00E80F48"/>
    <w:rsid w:val="00E8277B"/>
    <w:rsid w:val="00E82A95"/>
    <w:rsid w:val="00E8394D"/>
    <w:rsid w:val="00E8451A"/>
    <w:rsid w:val="00E86176"/>
    <w:rsid w:val="00E8625C"/>
    <w:rsid w:val="00E864DE"/>
    <w:rsid w:val="00E86571"/>
    <w:rsid w:val="00E8683D"/>
    <w:rsid w:val="00E8714A"/>
    <w:rsid w:val="00E871EE"/>
    <w:rsid w:val="00E90BA5"/>
    <w:rsid w:val="00E90E70"/>
    <w:rsid w:val="00E918E8"/>
    <w:rsid w:val="00E93829"/>
    <w:rsid w:val="00E93D81"/>
    <w:rsid w:val="00E93EF3"/>
    <w:rsid w:val="00E95BE7"/>
    <w:rsid w:val="00E95DBA"/>
    <w:rsid w:val="00E968E7"/>
    <w:rsid w:val="00E96D16"/>
    <w:rsid w:val="00E97B38"/>
    <w:rsid w:val="00E97BFC"/>
    <w:rsid w:val="00EA12B3"/>
    <w:rsid w:val="00EA2379"/>
    <w:rsid w:val="00EA2D63"/>
    <w:rsid w:val="00EA3280"/>
    <w:rsid w:val="00EA3A6B"/>
    <w:rsid w:val="00EA4962"/>
    <w:rsid w:val="00EA4CD7"/>
    <w:rsid w:val="00EA5627"/>
    <w:rsid w:val="00EA599C"/>
    <w:rsid w:val="00EA61A7"/>
    <w:rsid w:val="00EA636A"/>
    <w:rsid w:val="00EA6426"/>
    <w:rsid w:val="00EA6659"/>
    <w:rsid w:val="00EA7364"/>
    <w:rsid w:val="00EB0244"/>
    <w:rsid w:val="00EB14BD"/>
    <w:rsid w:val="00EB1587"/>
    <w:rsid w:val="00EB2862"/>
    <w:rsid w:val="00EB3EFC"/>
    <w:rsid w:val="00EB40F7"/>
    <w:rsid w:val="00EB4B55"/>
    <w:rsid w:val="00EB4C07"/>
    <w:rsid w:val="00EB5548"/>
    <w:rsid w:val="00EB555A"/>
    <w:rsid w:val="00EB6DB9"/>
    <w:rsid w:val="00EB70CF"/>
    <w:rsid w:val="00EB7E2A"/>
    <w:rsid w:val="00EC043A"/>
    <w:rsid w:val="00EC0FC4"/>
    <w:rsid w:val="00EC2F82"/>
    <w:rsid w:val="00EC33A5"/>
    <w:rsid w:val="00EC3A4C"/>
    <w:rsid w:val="00EC413A"/>
    <w:rsid w:val="00EC454B"/>
    <w:rsid w:val="00EC4647"/>
    <w:rsid w:val="00EC542B"/>
    <w:rsid w:val="00EC5A81"/>
    <w:rsid w:val="00EC6B6E"/>
    <w:rsid w:val="00EC70B8"/>
    <w:rsid w:val="00ED0B94"/>
    <w:rsid w:val="00ED0C82"/>
    <w:rsid w:val="00ED1705"/>
    <w:rsid w:val="00ED1F70"/>
    <w:rsid w:val="00ED2BDE"/>
    <w:rsid w:val="00ED3E55"/>
    <w:rsid w:val="00ED54DD"/>
    <w:rsid w:val="00ED5794"/>
    <w:rsid w:val="00ED5CED"/>
    <w:rsid w:val="00EE0051"/>
    <w:rsid w:val="00EE107D"/>
    <w:rsid w:val="00EE148E"/>
    <w:rsid w:val="00EE1B55"/>
    <w:rsid w:val="00EE1D12"/>
    <w:rsid w:val="00EE283E"/>
    <w:rsid w:val="00EE2A4D"/>
    <w:rsid w:val="00EE2F2F"/>
    <w:rsid w:val="00EE4336"/>
    <w:rsid w:val="00EE46EE"/>
    <w:rsid w:val="00EE4F0D"/>
    <w:rsid w:val="00EE7BA1"/>
    <w:rsid w:val="00EF07FA"/>
    <w:rsid w:val="00EF2486"/>
    <w:rsid w:val="00EF407F"/>
    <w:rsid w:val="00EF44AF"/>
    <w:rsid w:val="00EF4F48"/>
    <w:rsid w:val="00EF5565"/>
    <w:rsid w:val="00EF5688"/>
    <w:rsid w:val="00EF5EB3"/>
    <w:rsid w:val="00EF6541"/>
    <w:rsid w:val="00EF7DF2"/>
    <w:rsid w:val="00F00327"/>
    <w:rsid w:val="00F006C6"/>
    <w:rsid w:val="00F01D70"/>
    <w:rsid w:val="00F0216B"/>
    <w:rsid w:val="00F02ECE"/>
    <w:rsid w:val="00F03CD1"/>
    <w:rsid w:val="00F05D0F"/>
    <w:rsid w:val="00F05DDD"/>
    <w:rsid w:val="00F05E1E"/>
    <w:rsid w:val="00F061A7"/>
    <w:rsid w:val="00F0668F"/>
    <w:rsid w:val="00F076B1"/>
    <w:rsid w:val="00F077EB"/>
    <w:rsid w:val="00F10A18"/>
    <w:rsid w:val="00F1146F"/>
    <w:rsid w:val="00F12605"/>
    <w:rsid w:val="00F13198"/>
    <w:rsid w:val="00F140A9"/>
    <w:rsid w:val="00F16658"/>
    <w:rsid w:val="00F16F72"/>
    <w:rsid w:val="00F17B25"/>
    <w:rsid w:val="00F221AF"/>
    <w:rsid w:val="00F223FF"/>
    <w:rsid w:val="00F22585"/>
    <w:rsid w:val="00F2277B"/>
    <w:rsid w:val="00F22821"/>
    <w:rsid w:val="00F22C00"/>
    <w:rsid w:val="00F22EF0"/>
    <w:rsid w:val="00F236B2"/>
    <w:rsid w:val="00F24A91"/>
    <w:rsid w:val="00F24B93"/>
    <w:rsid w:val="00F2593C"/>
    <w:rsid w:val="00F26CC8"/>
    <w:rsid w:val="00F271CF"/>
    <w:rsid w:val="00F27DAB"/>
    <w:rsid w:val="00F30F6A"/>
    <w:rsid w:val="00F31D48"/>
    <w:rsid w:val="00F31EE2"/>
    <w:rsid w:val="00F32191"/>
    <w:rsid w:val="00F321C4"/>
    <w:rsid w:val="00F323BA"/>
    <w:rsid w:val="00F3555B"/>
    <w:rsid w:val="00F35674"/>
    <w:rsid w:val="00F35C9F"/>
    <w:rsid w:val="00F365EB"/>
    <w:rsid w:val="00F36746"/>
    <w:rsid w:val="00F37B2C"/>
    <w:rsid w:val="00F40C93"/>
    <w:rsid w:val="00F40E91"/>
    <w:rsid w:val="00F41A4A"/>
    <w:rsid w:val="00F428E9"/>
    <w:rsid w:val="00F43271"/>
    <w:rsid w:val="00F4330A"/>
    <w:rsid w:val="00F44396"/>
    <w:rsid w:val="00F44659"/>
    <w:rsid w:val="00F448C3"/>
    <w:rsid w:val="00F44C94"/>
    <w:rsid w:val="00F44D2E"/>
    <w:rsid w:val="00F455EB"/>
    <w:rsid w:val="00F460F9"/>
    <w:rsid w:val="00F46A25"/>
    <w:rsid w:val="00F474A7"/>
    <w:rsid w:val="00F51B88"/>
    <w:rsid w:val="00F51CFD"/>
    <w:rsid w:val="00F51D8D"/>
    <w:rsid w:val="00F54598"/>
    <w:rsid w:val="00F55404"/>
    <w:rsid w:val="00F55580"/>
    <w:rsid w:val="00F60B8C"/>
    <w:rsid w:val="00F61383"/>
    <w:rsid w:val="00F61E09"/>
    <w:rsid w:val="00F61FF8"/>
    <w:rsid w:val="00F6226E"/>
    <w:rsid w:val="00F63116"/>
    <w:rsid w:val="00F632AC"/>
    <w:rsid w:val="00F632C4"/>
    <w:rsid w:val="00F642DE"/>
    <w:rsid w:val="00F67594"/>
    <w:rsid w:val="00F67767"/>
    <w:rsid w:val="00F67B91"/>
    <w:rsid w:val="00F7005D"/>
    <w:rsid w:val="00F71599"/>
    <w:rsid w:val="00F71AF4"/>
    <w:rsid w:val="00F71E84"/>
    <w:rsid w:val="00F72957"/>
    <w:rsid w:val="00F72CF4"/>
    <w:rsid w:val="00F74C30"/>
    <w:rsid w:val="00F7522F"/>
    <w:rsid w:val="00F80188"/>
    <w:rsid w:val="00F804AA"/>
    <w:rsid w:val="00F80E90"/>
    <w:rsid w:val="00F80ED2"/>
    <w:rsid w:val="00F817B0"/>
    <w:rsid w:val="00F8310A"/>
    <w:rsid w:val="00F831B0"/>
    <w:rsid w:val="00F8371C"/>
    <w:rsid w:val="00F8382D"/>
    <w:rsid w:val="00F849D4"/>
    <w:rsid w:val="00F84ACF"/>
    <w:rsid w:val="00F857A3"/>
    <w:rsid w:val="00F85DB4"/>
    <w:rsid w:val="00F85FC2"/>
    <w:rsid w:val="00F86BDB"/>
    <w:rsid w:val="00F87C83"/>
    <w:rsid w:val="00F9059E"/>
    <w:rsid w:val="00F90823"/>
    <w:rsid w:val="00F91633"/>
    <w:rsid w:val="00F917B3"/>
    <w:rsid w:val="00F92539"/>
    <w:rsid w:val="00F947F0"/>
    <w:rsid w:val="00F949C7"/>
    <w:rsid w:val="00F96CC9"/>
    <w:rsid w:val="00F97950"/>
    <w:rsid w:val="00FA0332"/>
    <w:rsid w:val="00FA0A78"/>
    <w:rsid w:val="00FA1727"/>
    <w:rsid w:val="00FA3662"/>
    <w:rsid w:val="00FA3715"/>
    <w:rsid w:val="00FA39CF"/>
    <w:rsid w:val="00FA4EF3"/>
    <w:rsid w:val="00FA555F"/>
    <w:rsid w:val="00FA5AB1"/>
    <w:rsid w:val="00FA6042"/>
    <w:rsid w:val="00FA636B"/>
    <w:rsid w:val="00FA6D92"/>
    <w:rsid w:val="00FB07F1"/>
    <w:rsid w:val="00FB31FE"/>
    <w:rsid w:val="00FB479D"/>
    <w:rsid w:val="00FB5E6C"/>
    <w:rsid w:val="00FB6374"/>
    <w:rsid w:val="00FB6CB4"/>
    <w:rsid w:val="00FB6D76"/>
    <w:rsid w:val="00FB6FD8"/>
    <w:rsid w:val="00FC1314"/>
    <w:rsid w:val="00FC2B71"/>
    <w:rsid w:val="00FC31A1"/>
    <w:rsid w:val="00FC557F"/>
    <w:rsid w:val="00FC6DB7"/>
    <w:rsid w:val="00FC776F"/>
    <w:rsid w:val="00FC7807"/>
    <w:rsid w:val="00FD1BED"/>
    <w:rsid w:val="00FD1C30"/>
    <w:rsid w:val="00FD250B"/>
    <w:rsid w:val="00FD2F1C"/>
    <w:rsid w:val="00FD39EA"/>
    <w:rsid w:val="00FD7D0B"/>
    <w:rsid w:val="00FE0741"/>
    <w:rsid w:val="00FE082E"/>
    <w:rsid w:val="00FE0DE7"/>
    <w:rsid w:val="00FE218B"/>
    <w:rsid w:val="00FE3B3A"/>
    <w:rsid w:val="00FE405B"/>
    <w:rsid w:val="00FE5109"/>
    <w:rsid w:val="00FE529E"/>
    <w:rsid w:val="00FE59A2"/>
    <w:rsid w:val="00FE6D02"/>
    <w:rsid w:val="00FE70BF"/>
    <w:rsid w:val="00FE79F7"/>
    <w:rsid w:val="00FF12A0"/>
    <w:rsid w:val="00FF1385"/>
    <w:rsid w:val="00FF1732"/>
    <w:rsid w:val="00FF1AD7"/>
    <w:rsid w:val="00FF3004"/>
    <w:rsid w:val="00FF3985"/>
    <w:rsid w:val="00FF3E04"/>
    <w:rsid w:val="00FF53E8"/>
    <w:rsid w:val="00FF60F0"/>
    <w:rsid w:val="00FF6A5A"/>
    <w:rsid w:val="00FF762C"/>
    <w:rsid w:val="00FF79C6"/>
    <w:rsid w:val="01101C23"/>
    <w:rsid w:val="012C159E"/>
    <w:rsid w:val="018A44B4"/>
    <w:rsid w:val="01922DC9"/>
    <w:rsid w:val="019924DC"/>
    <w:rsid w:val="021A1EAD"/>
    <w:rsid w:val="02293B5D"/>
    <w:rsid w:val="02316790"/>
    <w:rsid w:val="023E4914"/>
    <w:rsid w:val="02606320"/>
    <w:rsid w:val="026925B8"/>
    <w:rsid w:val="02734C55"/>
    <w:rsid w:val="02E9052A"/>
    <w:rsid w:val="02F10E60"/>
    <w:rsid w:val="03074C06"/>
    <w:rsid w:val="03387229"/>
    <w:rsid w:val="03443A6F"/>
    <w:rsid w:val="03724537"/>
    <w:rsid w:val="03851ED2"/>
    <w:rsid w:val="03F44933"/>
    <w:rsid w:val="04043AA5"/>
    <w:rsid w:val="041E7ACD"/>
    <w:rsid w:val="04382BE0"/>
    <w:rsid w:val="043E7102"/>
    <w:rsid w:val="045E7194"/>
    <w:rsid w:val="0477350E"/>
    <w:rsid w:val="048D42C4"/>
    <w:rsid w:val="04A006E1"/>
    <w:rsid w:val="04FA39D4"/>
    <w:rsid w:val="051A4492"/>
    <w:rsid w:val="051A65C3"/>
    <w:rsid w:val="0523682C"/>
    <w:rsid w:val="052E1C9F"/>
    <w:rsid w:val="0531200C"/>
    <w:rsid w:val="053E109C"/>
    <w:rsid w:val="054C6411"/>
    <w:rsid w:val="0554260B"/>
    <w:rsid w:val="05552C9F"/>
    <w:rsid w:val="05CE1B70"/>
    <w:rsid w:val="05E002BE"/>
    <w:rsid w:val="05E35B59"/>
    <w:rsid w:val="06481AD4"/>
    <w:rsid w:val="06506C9A"/>
    <w:rsid w:val="06521913"/>
    <w:rsid w:val="06567772"/>
    <w:rsid w:val="06805122"/>
    <w:rsid w:val="069353D8"/>
    <w:rsid w:val="06952ADA"/>
    <w:rsid w:val="069C1E5A"/>
    <w:rsid w:val="06DC1602"/>
    <w:rsid w:val="06DF7532"/>
    <w:rsid w:val="06F36A08"/>
    <w:rsid w:val="06FA560F"/>
    <w:rsid w:val="071B4038"/>
    <w:rsid w:val="07655DB3"/>
    <w:rsid w:val="07DA0583"/>
    <w:rsid w:val="0838737A"/>
    <w:rsid w:val="08444D9F"/>
    <w:rsid w:val="088A4392"/>
    <w:rsid w:val="089935B7"/>
    <w:rsid w:val="089974CC"/>
    <w:rsid w:val="08AA4743"/>
    <w:rsid w:val="08CC0D69"/>
    <w:rsid w:val="08D12404"/>
    <w:rsid w:val="08DA0D79"/>
    <w:rsid w:val="0927319F"/>
    <w:rsid w:val="092B3141"/>
    <w:rsid w:val="097517AF"/>
    <w:rsid w:val="097A7948"/>
    <w:rsid w:val="098C68F8"/>
    <w:rsid w:val="09AC4724"/>
    <w:rsid w:val="09B87F24"/>
    <w:rsid w:val="09F95F96"/>
    <w:rsid w:val="0A0334B3"/>
    <w:rsid w:val="0A1535DF"/>
    <w:rsid w:val="0A3C1CA7"/>
    <w:rsid w:val="0A3C33FC"/>
    <w:rsid w:val="0A461924"/>
    <w:rsid w:val="0A901CC5"/>
    <w:rsid w:val="0AFB55B6"/>
    <w:rsid w:val="0B072024"/>
    <w:rsid w:val="0B0914F5"/>
    <w:rsid w:val="0B110D86"/>
    <w:rsid w:val="0B2916C2"/>
    <w:rsid w:val="0B79732A"/>
    <w:rsid w:val="0B91761E"/>
    <w:rsid w:val="0BCA33E7"/>
    <w:rsid w:val="0BE77B0B"/>
    <w:rsid w:val="0C7051BF"/>
    <w:rsid w:val="0C83295D"/>
    <w:rsid w:val="0C89471E"/>
    <w:rsid w:val="0CAE5CFF"/>
    <w:rsid w:val="0D3E4270"/>
    <w:rsid w:val="0D494161"/>
    <w:rsid w:val="0D4F57E4"/>
    <w:rsid w:val="0D6669BD"/>
    <w:rsid w:val="0DC64678"/>
    <w:rsid w:val="0DCB05AE"/>
    <w:rsid w:val="0DF70178"/>
    <w:rsid w:val="0DF94899"/>
    <w:rsid w:val="0DFA1324"/>
    <w:rsid w:val="0E32410D"/>
    <w:rsid w:val="0EA6596A"/>
    <w:rsid w:val="0EA86D69"/>
    <w:rsid w:val="0EB14180"/>
    <w:rsid w:val="0EBC4E69"/>
    <w:rsid w:val="0EDD408A"/>
    <w:rsid w:val="0EF64818"/>
    <w:rsid w:val="0EFB37A0"/>
    <w:rsid w:val="0F1C6925"/>
    <w:rsid w:val="0F3D389D"/>
    <w:rsid w:val="0F434292"/>
    <w:rsid w:val="0F5A60DB"/>
    <w:rsid w:val="0F8236D5"/>
    <w:rsid w:val="0FA65B55"/>
    <w:rsid w:val="0FC55235"/>
    <w:rsid w:val="1009280B"/>
    <w:rsid w:val="10336278"/>
    <w:rsid w:val="1050087E"/>
    <w:rsid w:val="10882E59"/>
    <w:rsid w:val="10B2256F"/>
    <w:rsid w:val="10C17787"/>
    <w:rsid w:val="10C64A93"/>
    <w:rsid w:val="10DC68D5"/>
    <w:rsid w:val="10E11148"/>
    <w:rsid w:val="10FF0C9D"/>
    <w:rsid w:val="111A473F"/>
    <w:rsid w:val="113C36AB"/>
    <w:rsid w:val="11803EC2"/>
    <w:rsid w:val="11AC730F"/>
    <w:rsid w:val="11BC1C1F"/>
    <w:rsid w:val="11CF1EF1"/>
    <w:rsid w:val="11EA2CE5"/>
    <w:rsid w:val="120B1546"/>
    <w:rsid w:val="121A40C0"/>
    <w:rsid w:val="12254043"/>
    <w:rsid w:val="126D2AE8"/>
    <w:rsid w:val="12994AF8"/>
    <w:rsid w:val="12AE6B32"/>
    <w:rsid w:val="12C43EF0"/>
    <w:rsid w:val="12C4475B"/>
    <w:rsid w:val="12D6647C"/>
    <w:rsid w:val="132B46CB"/>
    <w:rsid w:val="1347382D"/>
    <w:rsid w:val="135421F8"/>
    <w:rsid w:val="13616BDF"/>
    <w:rsid w:val="13753967"/>
    <w:rsid w:val="1382369F"/>
    <w:rsid w:val="13A1080A"/>
    <w:rsid w:val="13DF2D80"/>
    <w:rsid w:val="13EB17D3"/>
    <w:rsid w:val="141122F3"/>
    <w:rsid w:val="142A4E08"/>
    <w:rsid w:val="146B3973"/>
    <w:rsid w:val="147D68DF"/>
    <w:rsid w:val="14DA386A"/>
    <w:rsid w:val="14F224D3"/>
    <w:rsid w:val="15063829"/>
    <w:rsid w:val="15073605"/>
    <w:rsid w:val="15134945"/>
    <w:rsid w:val="152A4236"/>
    <w:rsid w:val="152C2ACF"/>
    <w:rsid w:val="154A11B3"/>
    <w:rsid w:val="155807CF"/>
    <w:rsid w:val="15786FC5"/>
    <w:rsid w:val="15E6235C"/>
    <w:rsid w:val="15FA4347"/>
    <w:rsid w:val="162701DA"/>
    <w:rsid w:val="162B22EC"/>
    <w:rsid w:val="164C31F0"/>
    <w:rsid w:val="164D4538"/>
    <w:rsid w:val="169676BB"/>
    <w:rsid w:val="16AA643D"/>
    <w:rsid w:val="16C16894"/>
    <w:rsid w:val="16E62698"/>
    <w:rsid w:val="170B2AE0"/>
    <w:rsid w:val="170C2076"/>
    <w:rsid w:val="171347E8"/>
    <w:rsid w:val="171F0553"/>
    <w:rsid w:val="17656EC7"/>
    <w:rsid w:val="178B2FCA"/>
    <w:rsid w:val="17D73777"/>
    <w:rsid w:val="183A16EE"/>
    <w:rsid w:val="18430D66"/>
    <w:rsid w:val="185A6742"/>
    <w:rsid w:val="1867408B"/>
    <w:rsid w:val="188859CE"/>
    <w:rsid w:val="189F55F4"/>
    <w:rsid w:val="18BA4BB2"/>
    <w:rsid w:val="18F273A6"/>
    <w:rsid w:val="192A68C8"/>
    <w:rsid w:val="196E49C7"/>
    <w:rsid w:val="199F5019"/>
    <w:rsid w:val="19DF13F6"/>
    <w:rsid w:val="1A1B4E17"/>
    <w:rsid w:val="1A390864"/>
    <w:rsid w:val="1AC77936"/>
    <w:rsid w:val="1B06535A"/>
    <w:rsid w:val="1B181533"/>
    <w:rsid w:val="1B2936B6"/>
    <w:rsid w:val="1B5A325C"/>
    <w:rsid w:val="1BA7556B"/>
    <w:rsid w:val="1BDE1760"/>
    <w:rsid w:val="1C1F4802"/>
    <w:rsid w:val="1C2551E1"/>
    <w:rsid w:val="1C2C362F"/>
    <w:rsid w:val="1C4B349A"/>
    <w:rsid w:val="1C656F34"/>
    <w:rsid w:val="1C946602"/>
    <w:rsid w:val="1CA232AC"/>
    <w:rsid w:val="1CB64299"/>
    <w:rsid w:val="1CCA7376"/>
    <w:rsid w:val="1CD17506"/>
    <w:rsid w:val="1D0B7287"/>
    <w:rsid w:val="1D0E5817"/>
    <w:rsid w:val="1D5D0FAA"/>
    <w:rsid w:val="1DA03128"/>
    <w:rsid w:val="1DA05131"/>
    <w:rsid w:val="1DB25B96"/>
    <w:rsid w:val="1DC52A30"/>
    <w:rsid w:val="1DC65517"/>
    <w:rsid w:val="1DD66520"/>
    <w:rsid w:val="1DE870A5"/>
    <w:rsid w:val="1E16127D"/>
    <w:rsid w:val="1E2A33E0"/>
    <w:rsid w:val="1E465BA2"/>
    <w:rsid w:val="1E5E47E0"/>
    <w:rsid w:val="1E65548D"/>
    <w:rsid w:val="1E6A5CCC"/>
    <w:rsid w:val="1E84689A"/>
    <w:rsid w:val="1F1555E0"/>
    <w:rsid w:val="1F5472F6"/>
    <w:rsid w:val="1F663A3C"/>
    <w:rsid w:val="1F6E7EA0"/>
    <w:rsid w:val="1F805BBC"/>
    <w:rsid w:val="1FA701A7"/>
    <w:rsid w:val="1FB57329"/>
    <w:rsid w:val="1FE73C5F"/>
    <w:rsid w:val="1FF877BF"/>
    <w:rsid w:val="202915A2"/>
    <w:rsid w:val="2038536A"/>
    <w:rsid w:val="204539A1"/>
    <w:rsid w:val="207019F5"/>
    <w:rsid w:val="20BD4F55"/>
    <w:rsid w:val="20DD7A52"/>
    <w:rsid w:val="21087874"/>
    <w:rsid w:val="21346507"/>
    <w:rsid w:val="21435719"/>
    <w:rsid w:val="21457AA6"/>
    <w:rsid w:val="2184057F"/>
    <w:rsid w:val="219C4AB4"/>
    <w:rsid w:val="21B76AE0"/>
    <w:rsid w:val="21C04A03"/>
    <w:rsid w:val="223C008F"/>
    <w:rsid w:val="22472B4C"/>
    <w:rsid w:val="22643497"/>
    <w:rsid w:val="22794F14"/>
    <w:rsid w:val="227F77DE"/>
    <w:rsid w:val="229442B5"/>
    <w:rsid w:val="22C67959"/>
    <w:rsid w:val="22FB0688"/>
    <w:rsid w:val="231C0C23"/>
    <w:rsid w:val="232063A6"/>
    <w:rsid w:val="23415E37"/>
    <w:rsid w:val="23635693"/>
    <w:rsid w:val="239F4B3B"/>
    <w:rsid w:val="23B76FD3"/>
    <w:rsid w:val="23C44AC9"/>
    <w:rsid w:val="23ED7ADD"/>
    <w:rsid w:val="23F21656"/>
    <w:rsid w:val="240C6AFA"/>
    <w:rsid w:val="2448342E"/>
    <w:rsid w:val="245C48D7"/>
    <w:rsid w:val="246E108F"/>
    <w:rsid w:val="24850C38"/>
    <w:rsid w:val="24A249FE"/>
    <w:rsid w:val="24D92089"/>
    <w:rsid w:val="25066EF6"/>
    <w:rsid w:val="2518296A"/>
    <w:rsid w:val="259B2EFC"/>
    <w:rsid w:val="26066D6F"/>
    <w:rsid w:val="26071D96"/>
    <w:rsid w:val="26235A5B"/>
    <w:rsid w:val="262E24B2"/>
    <w:rsid w:val="268B284C"/>
    <w:rsid w:val="26A26BEE"/>
    <w:rsid w:val="26C7367F"/>
    <w:rsid w:val="26CD70F0"/>
    <w:rsid w:val="26FE1742"/>
    <w:rsid w:val="26FF1B22"/>
    <w:rsid w:val="2701248A"/>
    <w:rsid w:val="27015D0E"/>
    <w:rsid w:val="271929B7"/>
    <w:rsid w:val="272B4880"/>
    <w:rsid w:val="274F6261"/>
    <w:rsid w:val="276C4272"/>
    <w:rsid w:val="277A093D"/>
    <w:rsid w:val="278241BD"/>
    <w:rsid w:val="27971706"/>
    <w:rsid w:val="279767AD"/>
    <w:rsid w:val="27AD4EE7"/>
    <w:rsid w:val="280755BB"/>
    <w:rsid w:val="286D29E1"/>
    <w:rsid w:val="288521C4"/>
    <w:rsid w:val="288714FD"/>
    <w:rsid w:val="28CC3AA7"/>
    <w:rsid w:val="28EA436C"/>
    <w:rsid w:val="29215BA4"/>
    <w:rsid w:val="292C2C6B"/>
    <w:rsid w:val="29660000"/>
    <w:rsid w:val="298A5CBE"/>
    <w:rsid w:val="29A65A1D"/>
    <w:rsid w:val="29AF38AF"/>
    <w:rsid w:val="29B4634A"/>
    <w:rsid w:val="29CB2ED6"/>
    <w:rsid w:val="29E36898"/>
    <w:rsid w:val="29EA6C76"/>
    <w:rsid w:val="29F10992"/>
    <w:rsid w:val="2A1E12B3"/>
    <w:rsid w:val="2A2E1289"/>
    <w:rsid w:val="2A51023B"/>
    <w:rsid w:val="2A6922E4"/>
    <w:rsid w:val="2A8229CD"/>
    <w:rsid w:val="2A8453B1"/>
    <w:rsid w:val="2A863051"/>
    <w:rsid w:val="2A9920D3"/>
    <w:rsid w:val="2AA56CCB"/>
    <w:rsid w:val="2AE37315"/>
    <w:rsid w:val="2B2412CD"/>
    <w:rsid w:val="2B2433DD"/>
    <w:rsid w:val="2B7045BE"/>
    <w:rsid w:val="2B9D7C99"/>
    <w:rsid w:val="2BA90F52"/>
    <w:rsid w:val="2BAB53B1"/>
    <w:rsid w:val="2BB51544"/>
    <w:rsid w:val="2BC346BE"/>
    <w:rsid w:val="2BE16598"/>
    <w:rsid w:val="2BF269A7"/>
    <w:rsid w:val="2C1C696A"/>
    <w:rsid w:val="2C5174E0"/>
    <w:rsid w:val="2C5618F8"/>
    <w:rsid w:val="2C601863"/>
    <w:rsid w:val="2C6A365C"/>
    <w:rsid w:val="2C877A43"/>
    <w:rsid w:val="2C8F59B2"/>
    <w:rsid w:val="2CA56C14"/>
    <w:rsid w:val="2CA73342"/>
    <w:rsid w:val="2CE22AB5"/>
    <w:rsid w:val="2CEC3D37"/>
    <w:rsid w:val="2D290A92"/>
    <w:rsid w:val="2D845825"/>
    <w:rsid w:val="2D9A7120"/>
    <w:rsid w:val="2DC50F24"/>
    <w:rsid w:val="2DE435D2"/>
    <w:rsid w:val="2DF36570"/>
    <w:rsid w:val="2DFB67F6"/>
    <w:rsid w:val="2E235B1A"/>
    <w:rsid w:val="2E2D4D5E"/>
    <w:rsid w:val="2E3512B9"/>
    <w:rsid w:val="2ECF2A5B"/>
    <w:rsid w:val="2F2D4173"/>
    <w:rsid w:val="2F3C308F"/>
    <w:rsid w:val="2F8278DB"/>
    <w:rsid w:val="2F9C7A54"/>
    <w:rsid w:val="2F9D6043"/>
    <w:rsid w:val="2FC04163"/>
    <w:rsid w:val="2FD33140"/>
    <w:rsid w:val="2FD71C09"/>
    <w:rsid w:val="3006129D"/>
    <w:rsid w:val="30B5333E"/>
    <w:rsid w:val="30F90549"/>
    <w:rsid w:val="31102A99"/>
    <w:rsid w:val="313C614E"/>
    <w:rsid w:val="31505DAD"/>
    <w:rsid w:val="31532F2D"/>
    <w:rsid w:val="318320A8"/>
    <w:rsid w:val="31A40879"/>
    <w:rsid w:val="31C1309B"/>
    <w:rsid w:val="31CD7106"/>
    <w:rsid w:val="31F57EDC"/>
    <w:rsid w:val="320C1BA8"/>
    <w:rsid w:val="32AA5A6C"/>
    <w:rsid w:val="32B56792"/>
    <w:rsid w:val="32BC30EA"/>
    <w:rsid w:val="32C51192"/>
    <w:rsid w:val="32CD43F3"/>
    <w:rsid w:val="32EE7C35"/>
    <w:rsid w:val="332848FF"/>
    <w:rsid w:val="332E62AD"/>
    <w:rsid w:val="33B33591"/>
    <w:rsid w:val="33C40DAF"/>
    <w:rsid w:val="33CB50F6"/>
    <w:rsid w:val="33EA5773"/>
    <w:rsid w:val="34156596"/>
    <w:rsid w:val="341579FF"/>
    <w:rsid w:val="343B1E3D"/>
    <w:rsid w:val="347B2C27"/>
    <w:rsid w:val="3480762C"/>
    <w:rsid w:val="34B563E2"/>
    <w:rsid w:val="34C71782"/>
    <w:rsid w:val="34CA2810"/>
    <w:rsid w:val="34F73875"/>
    <w:rsid w:val="35033E04"/>
    <w:rsid w:val="350A1874"/>
    <w:rsid w:val="350C4714"/>
    <w:rsid w:val="351A087B"/>
    <w:rsid w:val="35214C46"/>
    <w:rsid w:val="35270B41"/>
    <w:rsid w:val="353323D5"/>
    <w:rsid w:val="35410880"/>
    <w:rsid w:val="35805321"/>
    <w:rsid w:val="35925C72"/>
    <w:rsid w:val="35973F2D"/>
    <w:rsid w:val="35C26DEE"/>
    <w:rsid w:val="35D929B4"/>
    <w:rsid w:val="360F267E"/>
    <w:rsid w:val="36502534"/>
    <w:rsid w:val="365A50BB"/>
    <w:rsid w:val="366E68DA"/>
    <w:rsid w:val="36881F0D"/>
    <w:rsid w:val="36A345C4"/>
    <w:rsid w:val="36C41867"/>
    <w:rsid w:val="36CC24F7"/>
    <w:rsid w:val="370B3942"/>
    <w:rsid w:val="370E4C3C"/>
    <w:rsid w:val="37391383"/>
    <w:rsid w:val="373C3CC0"/>
    <w:rsid w:val="374E1D76"/>
    <w:rsid w:val="375436D4"/>
    <w:rsid w:val="37545502"/>
    <w:rsid w:val="37855348"/>
    <w:rsid w:val="37916990"/>
    <w:rsid w:val="37D4606B"/>
    <w:rsid w:val="37FA4F3B"/>
    <w:rsid w:val="381F5E35"/>
    <w:rsid w:val="383813C8"/>
    <w:rsid w:val="385244BD"/>
    <w:rsid w:val="38623892"/>
    <w:rsid w:val="38650C3E"/>
    <w:rsid w:val="388809BB"/>
    <w:rsid w:val="388A07DC"/>
    <w:rsid w:val="38C92C00"/>
    <w:rsid w:val="38F57B5C"/>
    <w:rsid w:val="38FD2469"/>
    <w:rsid w:val="390870F3"/>
    <w:rsid w:val="391B0EFF"/>
    <w:rsid w:val="39334744"/>
    <w:rsid w:val="3948026B"/>
    <w:rsid w:val="3956604D"/>
    <w:rsid w:val="39A1679C"/>
    <w:rsid w:val="39CB11C0"/>
    <w:rsid w:val="39F12A70"/>
    <w:rsid w:val="3A132F16"/>
    <w:rsid w:val="3A1B3237"/>
    <w:rsid w:val="3A93517E"/>
    <w:rsid w:val="3B3B0691"/>
    <w:rsid w:val="3B42434C"/>
    <w:rsid w:val="3B761321"/>
    <w:rsid w:val="3BE55A8F"/>
    <w:rsid w:val="3BF44C1A"/>
    <w:rsid w:val="3C030505"/>
    <w:rsid w:val="3C202FB4"/>
    <w:rsid w:val="3C34574B"/>
    <w:rsid w:val="3C5A2D1C"/>
    <w:rsid w:val="3C722C08"/>
    <w:rsid w:val="3C7941AB"/>
    <w:rsid w:val="3CB37024"/>
    <w:rsid w:val="3CE47750"/>
    <w:rsid w:val="3D057F7D"/>
    <w:rsid w:val="3D0976C4"/>
    <w:rsid w:val="3D174C49"/>
    <w:rsid w:val="3D4752E9"/>
    <w:rsid w:val="3D7E34D1"/>
    <w:rsid w:val="3D8C258A"/>
    <w:rsid w:val="3DA7157D"/>
    <w:rsid w:val="3E0347A6"/>
    <w:rsid w:val="3E37139E"/>
    <w:rsid w:val="3E386E20"/>
    <w:rsid w:val="3E586680"/>
    <w:rsid w:val="3E5C5F16"/>
    <w:rsid w:val="3E7E6A1E"/>
    <w:rsid w:val="3EC2511D"/>
    <w:rsid w:val="3F3527DB"/>
    <w:rsid w:val="3F544A31"/>
    <w:rsid w:val="3F610CAF"/>
    <w:rsid w:val="3F92191C"/>
    <w:rsid w:val="402F14D9"/>
    <w:rsid w:val="4042437C"/>
    <w:rsid w:val="40437225"/>
    <w:rsid w:val="40666255"/>
    <w:rsid w:val="40852B71"/>
    <w:rsid w:val="40A56A55"/>
    <w:rsid w:val="40D04F96"/>
    <w:rsid w:val="412F650A"/>
    <w:rsid w:val="413520C0"/>
    <w:rsid w:val="415370A7"/>
    <w:rsid w:val="4154383A"/>
    <w:rsid w:val="415826D8"/>
    <w:rsid w:val="416A77B2"/>
    <w:rsid w:val="41DB653A"/>
    <w:rsid w:val="42092064"/>
    <w:rsid w:val="422B3A5C"/>
    <w:rsid w:val="426875C2"/>
    <w:rsid w:val="427E562E"/>
    <w:rsid w:val="42C22B34"/>
    <w:rsid w:val="42C433F4"/>
    <w:rsid w:val="42F624A6"/>
    <w:rsid w:val="43297F3D"/>
    <w:rsid w:val="434C069A"/>
    <w:rsid w:val="43707565"/>
    <w:rsid w:val="43D92772"/>
    <w:rsid w:val="43EF1C5D"/>
    <w:rsid w:val="4412373D"/>
    <w:rsid w:val="446F41E7"/>
    <w:rsid w:val="44846EF4"/>
    <w:rsid w:val="448B20BD"/>
    <w:rsid w:val="44965297"/>
    <w:rsid w:val="44D00889"/>
    <w:rsid w:val="44DB3186"/>
    <w:rsid w:val="44DC1DE0"/>
    <w:rsid w:val="44E01453"/>
    <w:rsid w:val="44F11AA7"/>
    <w:rsid w:val="453146CD"/>
    <w:rsid w:val="455A36D4"/>
    <w:rsid w:val="45642733"/>
    <w:rsid w:val="459D5D78"/>
    <w:rsid w:val="45A71D3F"/>
    <w:rsid w:val="45CA6AB2"/>
    <w:rsid w:val="45FB5915"/>
    <w:rsid w:val="462875A5"/>
    <w:rsid w:val="462E6C0B"/>
    <w:rsid w:val="46A401F3"/>
    <w:rsid w:val="47077F50"/>
    <w:rsid w:val="47251D48"/>
    <w:rsid w:val="475A0EB2"/>
    <w:rsid w:val="475B3E56"/>
    <w:rsid w:val="475E4BEA"/>
    <w:rsid w:val="47766E62"/>
    <w:rsid w:val="4794334B"/>
    <w:rsid w:val="479E21BE"/>
    <w:rsid w:val="47CB5980"/>
    <w:rsid w:val="47E7569B"/>
    <w:rsid w:val="488739F0"/>
    <w:rsid w:val="489D3386"/>
    <w:rsid w:val="48BA78DE"/>
    <w:rsid w:val="48C2276C"/>
    <w:rsid w:val="48CA70FD"/>
    <w:rsid w:val="48CB5058"/>
    <w:rsid w:val="48CC2435"/>
    <w:rsid w:val="490D4C4F"/>
    <w:rsid w:val="499814CB"/>
    <w:rsid w:val="499C42E2"/>
    <w:rsid w:val="49EF494F"/>
    <w:rsid w:val="49FA026B"/>
    <w:rsid w:val="49FA3470"/>
    <w:rsid w:val="4A3B658D"/>
    <w:rsid w:val="4A596B7C"/>
    <w:rsid w:val="4A5E3A23"/>
    <w:rsid w:val="4A92373A"/>
    <w:rsid w:val="4A9D26C5"/>
    <w:rsid w:val="4AA043AA"/>
    <w:rsid w:val="4AB371A3"/>
    <w:rsid w:val="4ABA51D3"/>
    <w:rsid w:val="4ABD1A49"/>
    <w:rsid w:val="4AD16E3D"/>
    <w:rsid w:val="4AD762EF"/>
    <w:rsid w:val="4B080ABC"/>
    <w:rsid w:val="4B17556D"/>
    <w:rsid w:val="4B26785E"/>
    <w:rsid w:val="4B46248B"/>
    <w:rsid w:val="4B8D6483"/>
    <w:rsid w:val="4B994F91"/>
    <w:rsid w:val="4BBD33CE"/>
    <w:rsid w:val="4BC75233"/>
    <w:rsid w:val="4BD32683"/>
    <w:rsid w:val="4C5B7BDE"/>
    <w:rsid w:val="4CBB5870"/>
    <w:rsid w:val="4D0E12D1"/>
    <w:rsid w:val="4D291727"/>
    <w:rsid w:val="4D2A6786"/>
    <w:rsid w:val="4D3913B2"/>
    <w:rsid w:val="4D681C3A"/>
    <w:rsid w:val="4D976B7C"/>
    <w:rsid w:val="4DAA76F7"/>
    <w:rsid w:val="4DBE1C1A"/>
    <w:rsid w:val="4DBE5B54"/>
    <w:rsid w:val="4DD8418D"/>
    <w:rsid w:val="4DEF06D0"/>
    <w:rsid w:val="4DFF0486"/>
    <w:rsid w:val="4DFF3300"/>
    <w:rsid w:val="4E0C0B2F"/>
    <w:rsid w:val="4EC455F3"/>
    <w:rsid w:val="4EC877D1"/>
    <w:rsid w:val="4F203DE0"/>
    <w:rsid w:val="4F4D2A58"/>
    <w:rsid w:val="4F72431F"/>
    <w:rsid w:val="4F854846"/>
    <w:rsid w:val="4FA90FFB"/>
    <w:rsid w:val="4FBE780A"/>
    <w:rsid w:val="4FF442B8"/>
    <w:rsid w:val="4FF74036"/>
    <w:rsid w:val="5023371B"/>
    <w:rsid w:val="50310B07"/>
    <w:rsid w:val="503713B5"/>
    <w:rsid w:val="503A7D50"/>
    <w:rsid w:val="50573EE0"/>
    <w:rsid w:val="50687EE1"/>
    <w:rsid w:val="50825ABD"/>
    <w:rsid w:val="50847E24"/>
    <w:rsid w:val="508B2042"/>
    <w:rsid w:val="50A117D4"/>
    <w:rsid w:val="50DC48AF"/>
    <w:rsid w:val="50F1625A"/>
    <w:rsid w:val="5124215A"/>
    <w:rsid w:val="51320B4E"/>
    <w:rsid w:val="517806BF"/>
    <w:rsid w:val="519B7926"/>
    <w:rsid w:val="51B15013"/>
    <w:rsid w:val="51E62428"/>
    <w:rsid w:val="5222697F"/>
    <w:rsid w:val="52247C93"/>
    <w:rsid w:val="522B5A07"/>
    <w:rsid w:val="524916B5"/>
    <w:rsid w:val="527375B5"/>
    <w:rsid w:val="52C07538"/>
    <w:rsid w:val="52D93B7C"/>
    <w:rsid w:val="52E0721B"/>
    <w:rsid w:val="52E7467F"/>
    <w:rsid w:val="530379C0"/>
    <w:rsid w:val="5318224A"/>
    <w:rsid w:val="53211D72"/>
    <w:rsid w:val="53215F80"/>
    <w:rsid w:val="5334399F"/>
    <w:rsid w:val="533A3138"/>
    <w:rsid w:val="534612EA"/>
    <w:rsid w:val="537D1372"/>
    <w:rsid w:val="53E966E7"/>
    <w:rsid w:val="53EA612D"/>
    <w:rsid w:val="53FE7E12"/>
    <w:rsid w:val="53FF22C9"/>
    <w:rsid w:val="54124691"/>
    <w:rsid w:val="544E4D2A"/>
    <w:rsid w:val="54666C81"/>
    <w:rsid w:val="549848A1"/>
    <w:rsid w:val="54A52B04"/>
    <w:rsid w:val="55010510"/>
    <w:rsid w:val="55061C05"/>
    <w:rsid w:val="550D4C7E"/>
    <w:rsid w:val="55184B11"/>
    <w:rsid w:val="55361973"/>
    <w:rsid w:val="55826059"/>
    <w:rsid w:val="55B577AC"/>
    <w:rsid w:val="55DB4169"/>
    <w:rsid w:val="56021E2A"/>
    <w:rsid w:val="560A0CCC"/>
    <w:rsid w:val="560A7BA7"/>
    <w:rsid w:val="561E24B4"/>
    <w:rsid w:val="567233E3"/>
    <w:rsid w:val="56813D12"/>
    <w:rsid w:val="56D53EDE"/>
    <w:rsid w:val="56EE39E7"/>
    <w:rsid w:val="56F07157"/>
    <w:rsid w:val="56FE0584"/>
    <w:rsid w:val="573B17CB"/>
    <w:rsid w:val="573D4E87"/>
    <w:rsid w:val="57666094"/>
    <w:rsid w:val="5780131E"/>
    <w:rsid w:val="5781514F"/>
    <w:rsid w:val="578D15B1"/>
    <w:rsid w:val="57A25E51"/>
    <w:rsid w:val="57E45843"/>
    <w:rsid w:val="57F77A99"/>
    <w:rsid w:val="58036FF1"/>
    <w:rsid w:val="581F31B7"/>
    <w:rsid w:val="585B2F03"/>
    <w:rsid w:val="585D5FF5"/>
    <w:rsid w:val="58803767"/>
    <w:rsid w:val="58807951"/>
    <w:rsid w:val="58DF4006"/>
    <w:rsid w:val="591D14AE"/>
    <w:rsid w:val="591F64C4"/>
    <w:rsid w:val="59272B65"/>
    <w:rsid w:val="59284BD5"/>
    <w:rsid w:val="593928F1"/>
    <w:rsid w:val="596F27DF"/>
    <w:rsid w:val="59847F15"/>
    <w:rsid w:val="59B30F36"/>
    <w:rsid w:val="59E35308"/>
    <w:rsid w:val="5A151319"/>
    <w:rsid w:val="5A7E4921"/>
    <w:rsid w:val="5A8A3DB1"/>
    <w:rsid w:val="5A972372"/>
    <w:rsid w:val="5AA9184E"/>
    <w:rsid w:val="5AB436B4"/>
    <w:rsid w:val="5AC12047"/>
    <w:rsid w:val="5AD433FA"/>
    <w:rsid w:val="5ADC5520"/>
    <w:rsid w:val="5AE31628"/>
    <w:rsid w:val="5B1B7F7F"/>
    <w:rsid w:val="5B747B40"/>
    <w:rsid w:val="5BA3302A"/>
    <w:rsid w:val="5BC85BF2"/>
    <w:rsid w:val="5BD04072"/>
    <w:rsid w:val="5BD15CD7"/>
    <w:rsid w:val="5BD62506"/>
    <w:rsid w:val="5BDC7171"/>
    <w:rsid w:val="5C281CBF"/>
    <w:rsid w:val="5C375F97"/>
    <w:rsid w:val="5C3F2313"/>
    <w:rsid w:val="5C7F704A"/>
    <w:rsid w:val="5CD003EE"/>
    <w:rsid w:val="5CDB0255"/>
    <w:rsid w:val="5CED0783"/>
    <w:rsid w:val="5D0040C4"/>
    <w:rsid w:val="5D1B5705"/>
    <w:rsid w:val="5D3868D0"/>
    <w:rsid w:val="5D3D5F84"/>
    <w:rsid w:val="5D464C29"/>
    <w:rsid w:val="5D53015C"/>
    <w:rsid w:val="5D72396D"/>
    <w:rsid w:val="5D771884"/>
    <w:rsid w:val="5D96394F"/>
    <w:rsid w:val="5DCC1CA1"/>
    <w:rsid w:val="5DF6043F"/>
    <w:rsid w:val="5DFE13F7"/>
    <w:rsid w:val="5E0A56D8"/>
    <w:rsid w:val="5E230800"/>
    <w:rsid w:val="5E271CE1"/>
    <w:rsid w:val="5E3B3CA9"/>
    <w:rsid w:val="5F103D27"/>
    <w:rsid w:val="5F88394B"/>
    <w:rsid w:val="5F8A6E4E"/>
    <w:rsid w:val="5F924DC1"/>
    <w:rsid w:val="5FB95257"/>
    <w:rsid w:val="5FC20401"/>
    <w:rsid w:val="5FD93159"/>
    <w:rsid w:val="5FE837F5"/>
    <w:rsid w:val="5FF56D43"/>
    <w:rsid w:val="5FF6617D"/>
    <w:rsid w:val="5FFE2592"/>
    <w:rsid w:val="604134CD"/>
    <w:rsid w:val="60BC2341"/>
    <w:rsid w:val="60DB75D3"/>
    <w:rsid w:val="618668C8"/>
    <w:rsid w:val="61B13F9A"/>
    <w:rsid w:val="61BC05B0"/>
    <w:rsid w:val="61F172B9"/>
    <w:rsid w:val="61F9258F"/>
    <w:rsid w:val="62007B87"/>
    <w:rsid w:val="626B4E79"/>
    <w:rsid w:val="627D15E7"/>
    <w:rsid w:val="62851CDD"/>
    <w:rsid w:val="62A71108"/>
    <w:rsid w:val="62B12EE3"/>
    <w:rsid w:val="62C872A0"/>
    <w:rsid w:val="62E56542"/>
    <w:rsid w:val="632623AE"/>
    <w:rsid w:val="634B6A33"/>
    <w:rsid w:val="63537050"/>
    <w:rsid w:val="6366073D"/>
    <w:rsid w:val="636907F4"/>
    <w:rsid w:val="637451BA"/>
    <w:rsid w:val="63856835"/>
    <w:rsid w:val="638C7095"/>
    <w:rsid w:val="64481CC9"/>
    <w:rsid w:val="648264B3"/>
    <w:rsid w:val="64B74F47"/>
    <w:rsid w:val="64EB5CA0"/>
    <w:rsid w:val="64F91C54"/>
    <w:rsid w:val="65031CD1"/>
    <w:rsid w:val="650352E9"/>
    <w:rsid w:val="65053E1E"/>
    <w:rsid w:val="65054FBD"/>
    <w:rsid w:val="650B73ED"/>
    <w:rsid w:val="6538514A"/>
    <w:rsid w:val="65420171"/>
    <w:rsid w:val="654A7DDA"/>
    <w:rsid w:val="65526949"/>
    <w:rsid w:val="65A72A09"/>
    <w:rsid w:val="65D5075D"/>
    <w:rsid w:val="65FC49E9"/>
    <w:rsid w:val="662A0A38"/>
    <w:rsid w:val="66486107"/>
    <w:rsid w:val="66494234"/>
    <w:rsid w:val="665011DF"/>
    <w:rsid w:val="6684029B"/>
    <w:rsid w:val="668556F5"/>
    <w:rsid w:val="669A7F65"/>
    <w:rsid w:val="66A91DAE"/>
    <w:rsid w:val="66B35A7A"/>
    <w:rsid w:val="66C83341"/>
    <w:rsid w:val="66D76328"/>
    <w:rsid w:val="66E50D0E"/>
    <w:rsid w:val="66EC2A81"/>
    <w:rsid w:val="67247A5C"/>
    <w:rsid w:val="672B1A53"/>
    <w:rsid w:val="67C30AB2"/>
    <w:rsid w:val="67DF4410"/>
    <w:rsid w:val="680C0D40"/>
    <w:rsid w:val="682F10B1"/>
    <w:rsid w:val="68946DA9"/>
    <w:rsid w:val="68E77426"/>
    <w:rsid w:val="69061528"/>
    <w:rsid w:val="691C697F"/>
    <w:rsid w:val="693A0334"/>
    <w:rsid w:val="693F30F6"/>
    <w:rsid w:val="69836008"/>
    <w:rsid w:val="69841C93"/>
    <w:rsid w:val="69892653"/>
    <w:rsid w:val="69BD5ADE"/>
    <w:rsid w:val="69CC7479"/>
    <w:rsid w:val="69E43C45"/>
    <w:rsid w:val="69F5715D"/>
    <w:rsid w:val="6A177C10"/>
    <w:rsid w:val="6A270136"/>
    <w:rsid w:val="6A5128E7"/>
    <w:rsid w:val="6A555782"/>
    <w:rsid w:val="6A617017"/>
    <w:rsid w:val="6A62085F"/>
    <w:rsid w:val="6A897109"/>
    <w:rsid w:val="6A931477"/>
    <w:rsid w:val="6A9F20FF"/>
    <w:rsid w:val="6AB2237C"/>
    <w:rsid w:val="6AC04C83"/>
    <w:rsid w:val="6AEF0C5E"/>
    <w:rsid w:val="6B31046B"/>
    <w:rsid w:val="6B400911"/>
    <w:rsid w:val="6B41632D"/>
    <w:rsid w:val="6BA0669E"/>
    <w:rsid w:val="6BCB6198"/>
    <w:rsid w:val="6BF273EB"/>
    <w:rsid w:val="6C1908AC"/>
    <w:rsid w:val="6C2D5854"/>
    <w:rsid w:val="6C402394"/>
    <w:rsid w:val="6C6D2D0D"/>
    <w:rsid w:val="6C7453DE"/>
    <w:rsid w:val="6C855301"/>
    <w:rsid w:val="6CB82518"/>
    <w:rsid w:val="6CBC13F4"/>
    <w:rsid w:val="6CD25BDE"/>
    <w:rsid w:val="6D016666"/>
    <w:rsid w:val="6D1F041D"/>
    <w:rsid w:val="6D39700C"/>
    <w:rsid w:val="6D4C79DE"/>
    <w:rsid w:val="6D541BC0"/>
    <w:rsid w:val="6D8650A8"/>
    <w:rsid w:val="6DA97C2D"/>
    <w:rsid w:val="6DF767A3"/>
    <w:rsid w:val="6E000787"/>
    <w:rsid w:val="6E091096"/>
    <w:rsid w:val="6E4352D1"/>
    <w:rsid w:val="6E737441"/>
    <w:rsid w:val="6EBC030F"/>
    <w:rsid w:val="6EDE230E"/>
    <w:rsid w:val="6EE7690C"/>
    <w:rsid w:val="6F2F55F5"/>
    <w:rsid w:val="6F64004E"/>
    <w:rsid w:val="6F833ED3"/>
    <w:rsid w:val="6F965814"/>
    <w:rsid w:val="6FE31E38"/>
    <w:rsid w:val="700B69B6"/>
    <w:rsid w:val="7016717C"/>
    <w:rsid w:val="701F46BD"/>
    <w:rsid w:val="704F6C8A"/>
    <w:rsid w:val="70512CBB"/>
    <w:rsid w:val="707F045E"/>
    <w:rsid w:val="708B7819"/>
    <w:rsid w:val="70B7737C"/>
    <w:rsid w:val="70C55830"/>
    <w:rsid w:val="70D06298"/>
    <w:rsid w:val="70D37054"/>
    <w:rsid w:val="71263532"/>
    <w:rsid w:val="71651736"/>
    <w:rsid w:val="72085F0E"/>
    <w:rsid w:val="7248108B"/>
    <w:rsid w:val="724A05E8"/>
    <w:rsid w:val="724D54DA"/>
    <w:rsid w:val="72811853"/>
    <w:rsid w:val="72BC0523"/>
    <w:rsid w:val="72D37019"/>
    <w:rsid w:val="735D7D1C"/>
    <w:rsid w:val="736C40F1"/>
    <w:rsid w:val="738C1DEC"/>
    <w:rsid w:val="73CD5085"/>
    <w:rsid w:val="741065A6"/>
    <w:rsid w:val="74261C2A"/>
    <w:rsid w:val="743375DF"/>
    <w:rsid w:val="743E4FDA"/>
    <w:rsid w:val="74454306"/>
    <w:rsid w:val="745D14B7"/>
    <w:rsid w:val="74824798"/>
    <w:rsid w:val="74BE1A94"/>
    <w:rsid w:val="74F2341B"/>
    <w:rsid w:val="7502185A"/>
    <w:rsid w:val="751F5A9C"/>
    <w:rsid w:val="7553092D"/>
    <w:rsid w:val="755B7EA8"/>
    <w:rsid w:val="7595642F"/>
    <w:rsid w:val="75B94C15"/>
    <w:rsid w:val="76075D1D"/>
    <w:rsid w:val="76121521"/>
    <w:rsid w:val="763F7F9F"/>
    <w:rsid w:val="76495049"/>
    <w:rsid w:val="76761FF2"/>
    <w:rsid w:val="769F52A1"/>
    <w:rsid w:val="76DE5B74"/>
    <w:rsid w:val="76EE55AC"/>
    <w:rsid w:val="76F220C7"/>
    <w:rsid w:val="772671D2"/>
    <w:rsid w:val="77332E96"/>
    <w:rsid w:val="77440E21"/>
    <w:rsid w:val="77495D38"/>
    <w:rsid w:val="77674620"/>
    <w:rsid w:val="779F79D2"/>
    <w:rsid w:val="77AE4C12"/>
    <w:rsid w:val="78047CE4"/>
    <w:rsid w:val="78121F2E"/>
    <w:rsid w:val="78344EE6"/>
    <w:rsid w:val="783A61D4"/>
    <w:rsid w:val="7844255D"/>
    <w:rsid w:val="78444A87"/>
    <w:rsid w:val="784721A0"/>
    <w:rsid w:val="7885742D"/>
    <w:rsid w:val="78972FCD"/>
    <w:rsid w:val="78B31F94"/>
    <w:rsid w:val="78CC7AA9"/>
    <w:rsid w:val="78D90277"/>
    <w:rsid w:val="78F66B43"/>
    <w:rsid w:val="7907149F"/>
    <w:rsid w:val="792E5ADB"/>
    <w:rsid w:val="793A736F"/>
    <w:rsid w:val="795A6E1D"/>
    <w:rsid w:val="79630533"/>
    <w:rsid w:val="7972680A"/>
    <w:rsid w:val="79B35723"/>
    <w:rsid w:val="79E15DA3"/>
    <w:rsid w:val="7A030083"/>
    <w:rsid w:val="7A435623"/>
    <w:rsid w:val="7A5A4664"/>
    <w:rsid w:val="7A990E28"/>
    <w:rsid w:val="7AF00FBF"/>
    <w:rsid w:val="7B0D6371"/>
    <w:rsid w:val="7B425546"/>
    <w:rsid w:val="7B5E2D46"/>
    <w:rsid w:val="7B62387C"/>
    <w:rsid w:val="7B631AB3"/>
    <w:rsid w:val="7B715A61"/>
    <w:rsid w:val="7B7C01F3"/>
    <w:rsid w:val="7B8E0777"/>
    <w:rsid w:val="7B9A1458"/>
    <w:rsid w:val="7BB0072A"/>
    <w:rsid w:val="7BC71E77"/>
    <w:rsid w:val="7BE44FE3"/>
    <w:rsid w:val="7BF662EE"/>
    <w:rsid w:val="7BF7021D"/>
    <w:rsid w:val="7BFE62BA"/>
    <w:rsid w:val="7C536936"/>
    <w:rsid w:val="7C585E3C"/>
    <w:rsid w:val="7C816FEB"/>
    <w:rsid w:val="7CE945FD"/>
    <w:rsid w:val="7CF01E50"/>
    <w:rsid w:val="7D254BDC"/>
    <w:rsid w:val="7D2D083F"/>
    <w:rsid w:val="7D703797"/>
    <w:rsid w:val="7D783084"/>
    <w:rsid w:val="7D787FB8"/>
    <w:rsid w:val="7D90280C"/>
    <w:rsid w:val="7D952F00"/>
    <w:rsid w:val="7DD11077"/>
    <w:rsid w:val="7DF7205D"/>
    <w:rsid w:val="7E514888"/>
    <w:rsid w:val="7E597CD7"/>
    <w:rsid w:val="7E5A355A"/>
    <w:rsid w:val="7EB0558F"/>
    <w:rsid w:val="7EF62377"/>
    <w:rsid w:val="7EF96EB6"/>
    <w:rsid w:val="7EFE6461"/>
    <w:rsid w:val="7EFF54A2"/>
    <w:rsid w:val="7F0A2079"/>
    <w:rsid w:val="7F1B49D7"/>
    <w:rsid w:val="7F3D15CE"/>
    <w:rsid w:val="7F4A43D7"/>
    <w:rsid w:val="7FA6487B"/>
    <w:rsid w:val="7FBA00B3"/>
    <w:rsid w:val="7FDD30DF"/>
    <w:rsid w:val="7FF240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qFormat="1" w:unhideWhenUsed="0" w:uiPriority="99" w:semiHidden="0" w:name="envelope return"/>
    <w:lsdException w:uiPriority="0" w:name="footnote reference"/>
    <w:lsdException w:qFormat="1" w:unhideWhenUsed="0" w:uiPriority="99"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0" w:semiHidden="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qFormat="1" w:uiPriority="99"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iPriority="0" w:semiHidden="0" w:name="Normal (Web)"/>
    <w:lsdException w:qFormat="1" w:uiPriority="0" w:name="HTML Acronym"/>
    <w:lsdException w:uiPriority="0" w:name="HTML Address"/>
    <w:lsdException w:qFormat="1" w:uiPriority="0" w:name="HTML Cite"/>
    <w:lsdException w:qFormat="1" w:uiPriority="0" w:name="HTML Code"/>
    <w:lsdException w:qFormat="1" w:uiPriority="0" w:name="HTML Definition"/>
    <w:lsdException w:qFormat="1" w:uiPriority="0" w:name="HTML Keyboard"/>
    <w:lsdException w:uiPriority="0" w:name="HTML Preformatted"/>
    <w:lsdException w:qFormat="1" w:uiPriority="0" w:name="HTML Sample"/>
    <w:lsdException w:qFormat="1" w:uiPriority="0" w:name="HTML Typewriter"/>
    <w:lsdException w:qFormat="1" w:uiPriority="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100" w:after="100"/>
      <w:jc w:val="center"/>
      <w:outlineLvl w:val="0"/>
    </w:pPr>
    <w:rPr>
      <w:b/>
      <w:bCs/>
      <w:kern w:val="44"/>
      <w:sz w:val="32"/>
      <w:szCs w:val="44"/>
    </w:rPr>
  </w:style>
  <w:style w:type="paragraph" w:styleId="4">
    <w:name w:val="heading 2"/>
    <w:basedOn w:val="1"/>
    <w:next w:val="5"/>
    <w:qFormat/>
    <w:uiPriority w:val="0"/>
    <w:pPr>
      <w:keepNext/>
      <w:keepLines/>
      <w:autoSpaceDE w:val="0"/>
      <w:autoSpaceDN w:val="0"/>
      <w:adjustRightInd w:val="0"/>
      <w:spacing w:before="120" w:line="360" w:lineRule="auto"/>
      <w:jc w:val="center"/>
      <w:outlineLvl w:val="1"/>
    </w:pPr>
    <w:rPr>
      <w:rFonts w:ascii="Arial" w:hAnsi="Arial"/>
      <w:b/>
      <w:kern w:val="0"/>
      <w:sz w:val="32"/>
      <w:szCs w:val="20"/>
    </w:rPr>
  </w:style>
  <w:style w:type="paragraph" w:styleId="6">
    <w:name w:val="heading 3"/>
    <w:basedOn w:val="1"/>
    <w:next w:val="5"/>
    <w:qFormat/>
    <w:uiPriority w:val="0"/>
    <w:pPr>
      <w:keepNext/>
      <w:keepLines/>
      <w:wordWrap w:val="0"/>
      <w:autoSpaceDE w:val="0"/>
      <w:autoSpaceDN w:val="0"/>
      <w:adjustRightInd w:val="0"/>
      <w:spacing w:line="440" w:lineRule="exact"/>
      <w:jc w:val="left"/>
      <w:outlineLvl w:val="2"/>
    </w:pPr>
    <w:rPr>
      <w:rFonts w:ascii="宋体"/>
      <w:b/>
      <w:kern w:val="0"/>
      <w:sz w:val="24"/>
      <w:szCs w:val="20"/>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customStyle="1" w:styleId="2">
    <w:name w:val="正文 New"/>
    <w:basedOn w:val="1"/>
    <w:qFormat/>
    <w:uiPriority w:val="0"/>
    <w:pPr>
      <w:spacing w:before="100" w:beforeAutospacing="1" w:after="100" w:afterAutospacing="1" w:line="440" w:lineRule="exact"/>
      <w:ind w:left="357" w:hanging="357"/>
    </w:pPr>
    <w:rPr>
      <w:szCs w:val="21"/>
    </w:rPr>
  </w:style>
  <w:style w:type="paragraph" w:styleId="5">
    <w:name w:val="Normal Indent"/>
    <w:basedOn w:val="1"/>
    <w:link w:val="52"/>
    <w:qFormat/>
    <w:uiPriority w:val="0"/>
    <w:pPr>
      <w:autoSpaceDE w:val="0"/>
      <w:autoSpaceDN w:val="0"/>
      <w:adjustRightInd w:val="0"/>
      <w:ind w:firstLine="420"/>
      <w:jc w:val="left"/>
    </w:pPr>
    <w:rPr>
      <w:rFonts w:ascii="宋体"/>
      <w:kern w:val="0"/>
      <w:sz w:val="24"/>
      <w:szCs w:val="20"/>
    </w:rPr>
  </w:style>
  <w:style w:type="paragraph" w:styleId="7">
    <w:name w:val="caption"/>
    <w:basedOn w:val="1"/>
    <w:next w:val="1"/>
    <w:qFormat/>
    <w:uiPriority w:val="0"/>
    <w:pPr>
      <w:spacing w:before="152" w:after="160"/>
    </w:pPr>
    <w:rPr>
      <w:rFonts w:ascii="Arial" w:hAnsi="Arial" w:eastAsia="黑体" w:cs="Arial"/>
      <w:kern w:val="0"/>
      <w:sz w:val="20"/>
      <w:szCs w:val="20"/>
    </w:rPr>
  </w:style>
  <w:style w:type="paragraph" w:styleId="8">
    <w:name w:val="Document Map"/>
    <w:basedOn w:val="1"/>
    <w:link w:val="50"/>
    <w:qFormat/>
    <w:uiPriority w:val="0"/>
    <w:rPr>
      <w:rFonts w:ascii="宋体"/>
      <w:sz w:val="18"/>
      <w:szCs w:val="18"/>
    </w:rPr>
  </w:style>
  <w:style w:type="paragraph" w:styleId="9">
    <w:name w:val="annotation text"/>
    <w:basedOn w:val="1"/>
    <w:link w:val="48"/>
    <w:qFormat/>
    <w:uiPriority w:val="99"/>
    <w:pPr>
      <w:jc w:val="left"/>
    </w:pPr>
    <w:rPr>
      <w:rFonts w:ascii="仿宋_GB2312" w:eastAsia="仿宋_GB2312"/>
      <w:sz w:val="32"/>
      <w:szCs w:val="32"/>
    </w:rPr>
  </w:style>
  <w:style w:type="paragraph" w:styleId="10">
    <w:name w:val="Body Text"/>
    <w:basedOn w:val="1"/>
    <w:link w:val="75"/>
    <w:qFormat/>
    <w:uiPriority w:val="0"/>
    <w:pPr>
      <w:tabs>
        <w:tab w:val="left" w:pos="567"/>
      </w:tabs>
      <w:spacing w:before="120" w:line="22" w:lineRule="atLeast"/>
    </w:pPr>
    <w:rPr>
      <w:rFonts w:ascii="宋体" w:hAnsi="宋体"/>
      <w:sz w:val="24"/>
    </w:rPr>
  </w:style>
  <w:style w:type="paragraph" w:styleId="11">
    <w:name w:val="Body Text Indent"/>
    <w:basedOn w:val="1"/>
    <w:next w:val="12"/>
    <w:qFormat/>
    <w:uiPriority w:val="0"/>
    <w:pPr>
      <w:spacing w:after="120"/>
      <w:ind w:left="420" w:leftChars="200"/>
    </w:pPr>
  </w:style>
  <w:style w:type="paragraph" w:styleId="12">
    <w:name w:val="envelope return"/>
    <w:basedOn w:val="1"/>
    <w:qFormat/>
    <w:uiPriority w:val="99"/>
    <w:pPr>
      <w:snapToGrid w:val="0"/>
    </w:pPr>
    <w:rPr>
      <w:rFonts w:ascii="Arial" w:hAnsi="Arial" w:cs="Arial"/>
    </w:rPr>
  </w:style>
  <w:style w:type="paragraph" w:styleId="13">
    <w:name w:val="Block Text"/>
    <w:basedOn w:val="1"/>
    <w:unhideWhenUsed/>
    <w:qFormat/>
    <w:uiPriority w:val="99"/>
    <w:pPr>
      <w:spacing w:after="120"/>
      <w:ind w:left="1440" w:leftChars="700" w:right="1440" w:rightChars="700"/>
    </w:pPr>
  </w:style>
  <w:style w:type="paragraph" w:styleId="14">
    <w:name w:val="toc 3"/>
    <w:basedOn w:val="1"/>
    <w:next w:val="1"/>
    <w:qFormat/>
    <w:uiPriority w:val="39"/>
    <w:pPr>
      <w:spacing w:line="500" w:lineRule="exact"/>
      <w:ind w:left="400" w:leftChars="400"/>
    </w:pPr>
    <w:rPr>
      <w:sz w:val="24"/>
    </w:rPr>
  </w:style>
  <w:style w:type="paragraph" w:styleId="15">
    <w:name w:val="Plain Text"/>
    <w:basedOn w:val="1"/>
    <w:link w:val="51"/>
    <w:qFormat/>
    <w:uiPriority w:val="0"/>
    <w:rPr>
      <w:rFonts w:ascii="宋体" w:hAnsi="Courier New"/>
      <w:szCs w:val="20"/>
    </w:rPr>
  </w:style>
  <w:style w:type="paragraph" w:styleId="16">
    <w:name w:val="Date"/>
    <w:basedOn w:val="1"/>
    <w:next w:val="1"/>
    <w:link w:val="53"/>
    <w:qFormat/>
    <w:uiPriority w:val="0"/>
    <w:pPr>
      <w:ind w:left="100" w:leftChars="2500"/>
    </w:pPr>
  </w:style>
  <w:style w:type="paragraph" w:styleId="17">
    <w:name w:val="Body Text Indent 2"/>
    <w:basedOn w:val="1"/>
    <w:qFormat/>
    <w:uiPriority w:val="0"/>
    <w:pPr>
      <w:spacing w:after="120" w:line="480" w:lineRule="auto"/>
      <w:ind w:left="420" w:leftChars="200"/>
    </w:pPr>
  </w:style>
  <w:style w:type="paragraph" w:styleId="18">
    <w:name w:val="Balloon Text"/>
    <w:basedOn w:val="1"/>
    <w:semiHidden/>
    <w:qFormat/>
    <w:uiPriority w:val="0"/>
    <w:rPr>
      <w:sz w:val="18"/>
      <w:szCs w:val="18"/>
    </w:rPr>
  </w:style>
  <w:style w:type="paragraph" w:styleId="19">
    <w:name w:val="footer"/>
    <w:basedOn w:val="1"/>
    <w:link w:val="49"/>
    <w:qFormat/>
    <w:uiPriority w:val="99"/>
    <w:pPr>
      <w:tabs>
        <w:tab w:val="center" w:pos="4153"/>
        <w:tab w:val="right" w:pos="8306"/>
      </w:tabs>
      <w:snapToGrid w:val="0"/>
      <w:jc w:val="left"/>
    </w:pPr>
    <w:rPr>
      <w:sz w:val="18"/>
      <w:szCs w:val="18"/>
    </w:rPr>
  </w:style>
  <w:style w:type="paragraph" w:styleId="2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39"/>
    <w:pPr>
      <w:tabs>
        <w:tab w:val="left" w:pos="1260"/>
        <w:tab w:val="right" w:leader="dot" w:pos="9060"/>
      </w:tabs>
      <w:spacing w:line="500" w:lineRule="exact"/>
    </w:pPr>
    <w:rPr>
      <w:sz w:val="24"/>
    </w:rPr>
  </w:style>
  <w:style w:type="paragraph" w:styleId="22">
    <w:name w:val="toc 2"/>
    <w:basedOn w:val="1"/>
    <w:next w:val="1"/>
    <w:qFormat/>
    <w:uiPriority w:val="39"/>
    <w:pPr>
      <w:spacing w:line="500" w:lineRule="exact"/>
      <w:ind w:left="200" w:leftChars="200"/>
    </w:pPr>
    <w:rPr>
      <w:sz w:val="24"/>
    </w:rPr>
  </w:style>
  <w:style w:type="paragraph" w:styleId="23">
    <w:name w:val="Normal (Web)"/>
    <w:basedOn w:val="1"/>
    <w:unhideWhenUsed/>
    <w:qFormat/>
    <w:uiPriority w:val="0"/>
    <w:pPr>
      <w:jc w:val="left"/>
    </w:pPr>
    <w:rPr>
      <w:kern w:val="0"/>
      <w:sz w:val="24"/>
    </w:rPr>
  </w:style>
  <w:style w:type="paragraph" w:styleId="24">
    <w:name w:val="index 1"/>
    <w:basedOn w:val="1"/>
    <w:next w:val="1"/>
    <w:semiHidden/>
    <w:qFormat/>
    <w:uiPriority w:val="0"/>
    <w:rPr>
      <w:szCs w:val="20"/>
    </w:rPr>
  </w:style>
  <w:style w:type="paragraph" w:styleId="25">
    <w:name w:val="annotation subject"/>
    <w:basedOn w:val="9"/>
    <w:next w:val="9"/>
    <w:semiHidden/>
    <w:qFormat/>
    <w:uiPriority w:val="0"/>
    <w:rPr>
      <w:rFonts w:ascii="Times New Roman" w:eastAsia="宋体"/>
      <w:b/>
      <w:bCs/>
      <w:sz w:val="21"/>
      <w:szCs w:val="24"/>
    </w:rPr>
  </w:style>
  <w:style w:type="paragraph" w:styleId="26">
    <w:name w:val="Body Text First Indent"/>
    <w:basedOn w:val="10"/>
    <w:link w:val="76"/>
    <w:qFormat/>
    <w:uiPriority w:val="0"/>
    <w:pPr>
      <w:spacing w:before="0" w:after="120" w:line="240" w:lineRule="auto"/>
      <w:ind w:firstLine="420" w:firstLineChars="100"/>
    </w:pPr>
    <w:rPr>
      <w:rFonts w:ascii="Calibri" w:hAnsi="Calibri"/>
      <w:sz w:val="21"/>
    </w:rPr>
  </w:style>
  <w:style w:type="paragraph" w:styleId="27">
    <w:name w:val="Body Text First Indent 2"/>
    <w:basedOn w:val="11"/>
    <w:next w:val="5"/>
    <w:unhideWhenUsed/>
    <w:qFormat/>
    <w:uiPriority w:val="0"/>
    <w:pPr>
      <w:ind w:firstLine="420" w:firstLineChars="200"/>
    </w:pPr>
  </w:style>
  <w:style w:type="table" w:styleId="29">
    <w:name w:val="Table Grid"/>
    <w:basedOn w:val="28"/>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Strong"/>
    <w:qFormat/>
    <w:uiPriority w:val="0"/>
    <w:rPr>
      <w:b/>
      <w:bCs/>
    </w:rPr>
  </w:style>
  <w:style w:type="character" w:styleId="32">
    <w:name w:val="page number"/>
    <w:basedOn w:val="30"/>
    <w:qFormat/>
    <w:uiPriority w:val="0"/>
  </w:style>
  <w:style w:type="character" w:styleId="33">
    <w:name w:val="FollowedHyperlink"/>
    <w:basedOn w:val="30"/>
    <w:qFormat/>
    <w:uiPriority w:val="0"/>
    <w:rPr>
      <w:color w:val="800080"/>
      <w:u w:val="none"/>
    </w:rPr>
  </w:style>
  <w:style w:type="character" w:styleId="34">
    <w:name w:val="Emphasis"/>
    <w:basedOn w:val="30"/>
    <w:qFormat/>
    <w:uiPriority w:val="0"/>
  </w:style>
  <w:style w:type="character" w:styleId="35">
    <w:name w:val="HTML Definition"/>
    <w:basedOn w:val="30"/>
    <w:semiHidden/>
    <w:unhideWhenUsed/>
    <w:qFormat/>
    <w:uiPriority w:val="0"/>
  </w:style>
  <w:style w:type="character" w:styleId="36">
    <w:name w:val="HTML Typewriter"/>
    <w:basedOn w:val="30"/>
    <w:semiHidden/>
    <w:unhideWhenUsed/>
    <w:qFormat/>
    <w:uiPriority w:val="0"/>
    <w:rPr>
      <w:rFonts w:ascii="monospace" w:hAnsi="monospace" w:eastAsia="monospace" w:cs="monospace"/>
      <w:sz w:val="20"/>
    </w:rPr>
  </w:style>
  <w:style w:type="character" w:styleId="37">
    <w:name w:val="HTML Acronym"/>
    <w:basedOn w:val="30"/>
    <w:semiHidden/>
    <w:unhideWhenUsed/>
    <w:qFormat/>
    <w:uiPriority w:val="0"/>
  </w:style>
  <w:style w:type="character" w:styleId="38">
    <w:name w:val="HTML Variable"/>
    <w:basedOn w:val="30"/>
    <w:semiHidden/>
    <w:unhideWhenUsed/>
    <w:qFormat/>
    <w:uiPriority w:val="0"/>
  </w:style>
  <w:style w:type="character" w:styleId="39">
    <w:name w:val="Hyperlink"/>
    <w:basedOn w:val="30"/>
    <w:qFormat/>
    <w:uiPriority w:val="99"/>
    <w:rPr>
      <w:color w:val="0000FF"/>
      <w:u w:val="none"/>
    </w:rPr>
  </w:style>
  <w:style w:type="character" w:styleId="40">
    <w:name w:val="HTML Code"/>
    <w:basedOn w:val="30"/>
    <w:semiHidden/>
    <w:unhideWhenUsed/>
    <w:qFormat/>
    <w:uiPriority w:val="0"/>
    <w:rPr>
      <w:rFonts w:hint="default" w:ascii="monospace" w:hAnsi="monospace" w:eastAsia="monospace" w:cs="monospace"/>
      <w:sz w:val="20"/>
    </w:rPr>
  </w:style>
  <w:style w:type="character" w:styleId="41">
    <w:name w:val="annotation reference"/>
    <w:semiHidden/>
    <w:qFormat/>
    <w:uiPriority w:val="99"/>
    <w:rPr>
      <w:sz w:val="21"/>
      <w:szCs w:val="21"/>
    </w:rPr>
  </w:style>
  <w:style w:type="character" w:styleId="42">
    <w:name w:val="HTML Cite"/>
    <w:basedOn w:val="30"/>
    <w:semiHidden/>
    <w:unhideWhenUsed/>
    <w:qFormat/>
    <w:uiPriority w:val="0"/>
  </w:style>
  <w:style w:type="character" w:styleId="43">
    <w:name w:val="HTML Keyboard"/>
    <w:basedOn w:val="30"/>
    <w:semiHidden/>
    <w:unhideWhenUsed/>
    <w:qFormat/>
    <w:uiPriority w:val="0"/>
    <w:rPr>
      <w:rFonts w:hint="default" w:ascii="monospace" w:hAnsi="monospace" w:eastAsia="monospace" w:cs="monospace"/>
      <w:sz w:val="20"/>
    </w:rPr>
  </w:style>
  <w:style w:type="character" w:styleId="44">
    <w:name w:val="HTML Sample"/>
    <w:basedOn w:val="30"/>
    <w:semiHidden/>
    <w:unhideWhenUsed/>
    <w:qFormat/>
    <w:uiPriority w:val="0"/>
    <w:rPr>
      <w:rFonts w:hint="default" w:ascii="monospace" w:hAnsi="monospace" w:eastAsia="monospace" w:cs="monospace"/>
    </w:rPr>
  </w:style>
  <w:style w:type="paragraph" w:customStyle="1" w:styleId="45">
    <w:name w:val="模板普通正文"/>
    <w:basedOn w:val="11"/>
    <w:qFormat/>
    <w:uiPriority w:val="0"/>
    <w:pPr>
      <w:spacing w:beforeLines="50" w:after="10"/>
      <w:ind w:firstLine="490" w:firstLineChars="175"/>
      <w:jc w:val="left"/>
    </w:pPr>
  </w:style>
  <w:style w:type="character" w:customStyle="1" w:styleId="46">
    <w:name w:val="样式（正文） Char"/>
    <w:link w:val="47"/>
    <w:qFormat/>
    <w:locked/>
    <w:uiPriority w:val="0"/>
    <w:rPr>
      <w:rFonts w:ascii="宋体" w:hAnsi="宋体" w:eastAsia="宋体"/>
      <w:kern w:val="2"/>
      <w:sz w:val="24"/>
      <w:szCs w:val="22"/>
      <w:lang w:bidi="ar-SA"/>
    </w:rPr>
  </w:style>
  <w:style w:type="paragraph" w:customStyle="1" w:styleId="47">
    <w:name w:val="样式（正文）"/>
    <w:basedOn w:val="1"/>
    <w:link w:val="46"/>
    <w:qFormat/>
    <w:uiPriority w:val="0"/>
    <w:pPr>
      <w:spacing w:line="360" w:lineRule="auto"/>
      <w:ind w:firstLine="200" w:firstLineChars="200"/>
    </w:pPr>
    <w:rPr>
      <w:rFonts w:ascii="宋体" w:hAnsi="宋体"/>
      <w:sz w:val="24"/>
      <w:szCs w:val="22"/>
    </w:rPr>
  </w:style>
  <w:style w:type="character" w:customStyle="1" w:styleId="48">
    <w:name w:val="批注文字 Char"/>
    <w:link w:val="9"/>
    <w:qFormat/>
    <w:uiPriority w:val="99"/>
    <w:rPr>
      <w:rFonts w:ascii="仿宋_GB2312" w:eastAsia="仿宋_GB2312"/>
      <w:kern w:val="2"/>
      <w:sz w:val="32"/>
      <w:szCs w:val="32"/>
    </w:rPr>
  </w:style>
  <w:style w:type="character" w:customStyle="1" w:styleId="49">
    <w:name w:val="页脚 Char"/>
    <w:basedOn w:val="30"/>
    <w:link w:val="19"/>
    <w:qFormat/>
    <w:uiPriority w:val="99"/>
    <w:rPr>
      <w:kern w:val="2"/>
      <w:sz w:val="18"/>
      <w:szCs w:val="18"/>
    </w:rPr>
  </w:style>
  <w:style w:type="character" w:customStyle="1" w:styleId="50">
    <w:name w:val="文档结构图 Char"/>
    <w:link w:val="8"/>
    <w:qFormat/>
    <w:uiPriority w:val="0"/>
    <w:rPr>
      <w:rFonts w:ascii="宋体" w:eastAsia="宋体"/>
      <w:kern w:val="2"/>
      <w:sz w:val="18"/>
      <w:szCs w:val="18"/>
      <w:lang w:val="en-US" w:eastAsia="zh-CN" w:bidi="ar-SA"/>
    </w:rPr>
  </w:style>
  <w:style w:type="character" w:customStyle="1" w:styleId="51">
    <w:name w:val="纯文本 Char"/>
    <w:link w:val="15"/>
    <w:qFormat/>
    <w:uiPriority w:val="0"/>
    <w:rPr>
      <w:rFonts w:ascii="宋体" w:hAnsi="Courier New"/>
      <w:kern w:val="2"/>
      <w:sz w:val="21"/>
    </w:rPr>
  </w:style>
  <w:style w:type="character" w:customStyle="1" w:styleId="52">
    <w:name w:val="正文缩进 Char"/>
    <w:link w:val="5"/>
    <w:qFormat/>
    <w:uiPriority w:val="0"/>
    <w:rPr>
      <w:rFonts w:ascii="宋体" w:eastAsia="宋体"/>
      <w:sz w:val="24"/>
      <w:lang w:val="en-US" w:eastAsia="zh-CN" w:bidi="ar-SA"/>
    </w:rPr>
  </w:style>
  <w:style w:type="character" w:customStyle="1" w:styleId="53">
    <w:name w:val="日期 Char"/>
    <w:basedOn w:val="30"/>
    <w:link w:val="16"/>
    <w:qFormat/>
    <w:uiPriority w:val="0"/>
    <w:rPr>
      <w:kern w:val="2"/>
      <w:sz w:val="21"/>
      <w:szCs w:val="24"/>
    </w:rPr>
  </w:style>
  <w:style w:type="paragraph" w:customStyle="1" w:styleId="54">
    <w:name w:val="表文"/>
    <w:basedOn w:val="1"/>
    <w:qFormat/>
    <w:uiPriority w:val="0"/>
    <w:rPr>
      <w:rFonts w:ascii="宋体" w:hAnsi="宋体" w:cs="宋体"/>
      <w:color w:val="000000"/>
      <w:kern w:val="0"/>
      <w:szCs w:val="21"/>
    </w:rPr>
  </w:style>
  <w:style w:type="paragraph" w:customStyle="1" w:styleId="55">
    <w:name w:val="Char1"/>
    <w:basedOn w:val="1"/>
    <w:qFormat/>
    <w:uiPriority w:val="0"/>
    <w:rPr>
      <w:rFonts w:ascii="Tahoma" w:hAnsi="Tahoma"/>
      <w:sz w:val="24"/>
      <w:szCs w:val="20"/>
    </w:rPr>
  </w:style>
  <w:style w:type="paragraph" w:customStyle="1" w:styleId="5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p0"/>
    <w:basedOn w:val="1"/>
    <w:qFormat/>
    <w:uiPriority w:val="0"/>
    <w:pPr>
      <w:widowControl/>
      <w:snapToGrid w:val="0"/>
      <w:spacing w:after="200"/>
      <w:jc w:val="left"/>
    </w:pPr>
    <w:rPr>
      <w:rFonts w:ascii="Tahoma" w:hAnsi="Tahoma" w:cs="Tahoma"/>
      <w:kern w:val="0"/>
      <w:sz w:val="22"/>
      <w:szCs w:val="22"/>
    </w:rPr>
  </w:style>
  <w:style w:type="paragraph" w:customStyle="1" w:styleId="58">
    <w:name w:val="样式 标题 2 + 段后: 156 磅"/>
    <w:basedOn w:val="4"/>
    <w:qFormat/>
    <w:uiPriority w:val="0"/>
    <w:pPr>
      <w:spacing w:before="100" w:after="100" w:line="240" w:lineRule="auto"/>
    </w:pPr>
    <w:rPr>
      <w:rFonts w:cs="宋体"/>
      <w:bCs/>
      <w:sz w:val="30"/>
    </w:rPr>
  </w:style>
  <w:style w:type="paragraph" w:customStyle="1" w:styleId="59">
    <w:name w:val="样式1"/>
    <w:basedOn w:val="6"/>
    <w:qFormat/>
    <w:uiPriority w:val="0"/>
    <w:pPr>
      <w:jc w:val="center"/>
    </w:pPr>
  </w:style>
  <w:style w:type="paragraph" w:customStyle="1" w:styleId="60">
    <w:name w:val="Char"/>
    <w:basedOn w:val="1"/>
    <w:qFormat/>
    <w:uiPriority w:val="0"/>
    <w:pPr>
      <w:tabs>
        <w:tab w:val="left" w:pos="432"/>
      </w:tabs>
      <w:spacing w:beforeLines="50" w:afterLines="50"/>
      <w:ind w:left="864" w:hanging="432"/>
    </w:pPr>
    <w:rPr>
      <w:sz w:val="24"/>
    </w:rPr>
  </w:style>
  <w:style w:type="paragraph" w:customStyle="1" w:styleId="61">
    <w:name w:val="Char11"/>
    <w:basedOn w:val="1"/>
    <w:qFormat/>
    <w:uiPriority w:val="0"/>
    <w:rPr>
      <w:rFonts w:ascii="Tahoma" w:hAnsi="Tahoma"/>
      <w:sz w:val="24"/>
      <w:szCs w:val="20"/>
    </w:rPr>
  </w:style>
  <w:style w:type="paragraph" w:customStyle="1" w:styleId="62">
    <w:name w:val="Char2"/>
    <w:basedOn w:val="1"/>
    <w:next w:val="1"/>
    <w:qFormat/>
    <w:uiPriority w:val="0"/>
    <w:pPr>
      <w:widowControl/>
      <w:spacing w:line="360" w:lineRule="auto"/>
      <w:jc w:val="left"/>
    </w:pPr>
    <w:rPr>
      <w:kern w:val="0"/>
      <w:szCs w:val="20"/>
      <w:lang w:eastAsia="en-US"/>
    </w:rPr>
  </w:style>
  <w:style w:type="paragraph" w:customStyle="1" w:styleId="63">
    <w:name w:val="Char Char1"/>
    <w:basedOn w:val="1"/>
    <w:qFormat/>
    <w:uiPriority w:val="0"/>
    <w:rPr>
      <w:szCs w:val="20"/>
    </w:rPr>
  </w:style>
  <w:style w:type="paragraph" w:customStyle="1" w:styleId="64">
    <w:name w:val="列出段落1"/>
    <w:basedOn w:val="1"/>
    <w:qFormat/>
    <w:uiPriority w:val="34"/>
    <w:pPr>
      <w:ind w:firstLine="420" w:firstLineChars="200"/>
    </w:pPr>
    <w:rPr>
      <w:rFonts w:ascii="Calibri" w:hAnsi="Calibri"/>
      <w:szCs w:val="22"/>
    </w:rPr>
  </w:style>
  <w:style w:type="paragraph" w:customStyle="1" w:styleId="65">
    <w:name w:val="无间隔1"/>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66">
    <w:name w:val="Char Char11"/>
    <w:basedOn w:val="1"/>
    <w:qFormat/>
    <w:uiPriority w:val="0"/>
  </w:style>
  <w:style w:type="paragraph" w:styleId="67">
    <w:name w:val="List Paragraph"/>
    <w:basedOn w:val="1"/>
    <w:qFormat/>
    <w:uiPriority w:val="99"/>
    <w:pPr>
      <w:ind w:firstLine="420" w:firstLineChars="200"/>
    </w:pPr>
  </w:style>
  <w:style w:type="character" w:customStyle="1" w:styleId="68">
    <w:name w:val="批注文字 Char1"/>
    <w:basedOn w:val="30"/>
    <w:semiHidden/>
    <w:qFormat/>
    <w:uiPriority w:val="99"/>
    <w:rPr>
      <w:rFonts w:ascii="Times New Roman" w:hAnsi="Times New Roman" w:eastAsia="宋体" w:cs="Times New Roman"/>
      <w:szCs w:val="24"/>
    </w:rPr>
  </w:style>
  <w:style w:type="table" w:customStyle="1" w:styleId="69">
    <w:name w:val="TableGrid"/>
    <w:qFormat/>
    <w:uiPriority w:val="0"/>
    <w:rPr>
      <w:kern w:val="2"/>
      <w:sz w:val="21"/>
      <w:szCs w:val="22"/>
    </w:rPr>
    <w:tblPr>
      <w:tblCellMar>
        <w:top w:w="0" w:type="dxa"/>
        <w:left w:w="0" w:type="dxa"/>
        <w:bottom w:w="0" w:type="dxa"/>
        <w:right w:w="0" w:type="dxa"/>
      </w:tblCellMar>
    </w:tblPr>
  </w:style>
  <w:style w:type="paragraph" w:customStyle="1" w:styleId="70">
    <w:name w:val="xl31"/>
    <w:basedOn w:val="1"/>
    <w:qFormat/>
    <w:uiPriority w:val="0"/>
    <w:pPr>
      <w:widowControl/>
      <w:spacing w:before="100" w:beforeAutospacing="1" w:after="100" w:afterAutospacing="1"/>
      <w:jc w:val="center"/>
    </w:pPr>
    <w:rPr>
      <w:b/>
      <w:bCs/>
      <w:kern w:val="0"/>
      <w:sz w:val="28"/>
      <w:szCs w:val="28"/>
    </w:rPr>
  </w:style>
  <w:style w:type="paragraph" w:customStyle="1" w:styleId="71">
    <w:name w:val="Char Char Char Char Char Char Char1 Char"/>
    <w:basedOn w:val="1"/>
    <w:qFormat/>
    <w:uiPriority w:val="0"/>
    <w:rPr>
      <w:rFonts w:ascii="Arial" w:hAnsi="Arial" w:cs="Arial"/>
      <w:sz w:val="24"/>
    </w:rPr>
  </w:style>
  <w:style w:type="table" w:customStyle="1" w:styleId="72">
    <w:name w:val="网格型1"/>
    <w:basedOn w:val="2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3">
    <w:name w:val="D&amp;L"/>
    <w:basedOn w:val="20"/>
    <w:qFormat/>
    <w:uiPriority w:val="0"/>
    <w:pPr>
      <w:pBdr>
        <w:bottom w:val="thinThickSmallGap" w:color="auto" w:sz="18" w:space="1"/>
      </w:pBdr>
      <w:adjustRightInd w:val="0"/>
      <w:snapToGrid/>
      <w:spacing w:line="240" w:lineRule="atLeast"/>
      <w:textAlignment w:val="baseline"/>
    </w:pPr>
    <w:rPr>
      <w:kern w:val="0"/>
      <w:sz w:val="24"/>
      <w:szCs w:val="20"/>
    </w:rPr>
  </w:style>
  <w:style w:type="paragraph" w:customStyle="1" w:styleId="74">
    <w:name w:val="Char Char Char1"/>
    <w:basedOn w:val="1"/>
    <w:qFormat/>
    <w:uiPriority w:val="0"/>
    <w:rPr>
      <w:rFonts w:ascii="Tahoma" w:hAnsi="Tahoma"/>
      <w:sz w:val="24"/>
      <w:szCs w:val="20"/>
    </w:rPr>
  </w:style>
  <w:style w:type="character" w:customStyle="1" w:styleId="75">
    <w:name w:val="正文文本 Char"/>
    <w:basedOn w:val="30"/>
    <w:link w:val="10"/>
    <w:qFormat/>
    <w:uiPriority w:val="0"/>
    <w:rPr>
      <w:rFonts w:ascii="宋体" w:hAnsi="宋体"/>
      <w:kern w:val="2"/>
      <w:sz w:val="24"/>
      <w:szCs w:val="24"/>
    </w:rPr>
  </w:style>
  <w:style w:type="character" w:customStyle="1" w:styleId="76">
    <w:name w:val="正文首行缩进 Char"/>
    <w:basedOn w:val="75"/>
    <w:link w:val="26"/>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1E75AB-3828-42F7-9BD0-11451111F077}">
  <ds:schemaRefs/>
</ds:datastoreItem>
</file>

<file path=docProps/app.xml><?xml version="1.0" encoding="utf-8"?>
<Properties xmlns="http://schemas.openxmlformats.org/officeDocument/2006/extended-properties" xmlns:vt="http://schemas.openxmlformats.org/officeDocument/2006/docPropsVTypes">
  <Template>Normal</Template>
  <Pages>50</Pages>
  <Words>23967</Words>
  <Characters>25655</Characters>
  <Lines>74</Lines>
  <Paragraphs>75</Paragraphs>
  <TotalTime>1</TotalTime>
  <ScaleCrop>false</ScaleCrop>
  <LinksUpToDate>false</LinksUpToDate>
  <CharactersWithSpaces>28886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2018-02-24T02:08:00Z</dcterms:created>
  <dc:creator>LF</dc:creator>
  <cp:lastModifiedBy>熊晗晖</cp:lastModifiedBy>
  <cp:lastPrinted>2022-09-06T06:32:00Z</cp:lastPrinted>
  <dcterms:modified xsi:type="dcterms:W3CDTF">2023-03-13T02:24:21Z</dcterms:modified>
  <dc:title>招标文件</dc:title>
  <cp:revision>319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14DF03BDA3D343D5BF96AC08F6D84413</vt:lpwstr>
  </property>
</Properties>
</file>