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A8430A">
      <w:pPr>
        <w:keepNext w:val="0"/>
        <w:keepLines w:val="0"/>
        <w:pageBreakBefore w:val="0"/>
        <w:kinsoku/>
        <w:wordWrap/>
        <w:overflowPunct w:val="0"/>
        <w:topLinePunct w:val="0"/>
        <w:bidi w:val="0"/>
        <w:spacing w:before="86" w:line="262" w:lineRule="auto"/>
        <w:rPr>
          <w:rFonts w:ascii="宋体" w:hAnsi="宋体" w:eastAsia="宋体" w:cs="宋体"/>
          <w:b w:val="0"/>
          <w:bCs w:val="0"/>
          <w:spacing w:val="-5"/>
          <w:sz w:val="44"/>
          <w:szCs w:val="44"/>
          <w14:textOutline w14:w="7975" w14:cap="sq" w14:cmpd="sng" w14:algn="ctr">
            <w14:solidFill>
              <w14:srgbClr w14:val="000000"/>
            </w14:solidFill>
            <w14:prstDash w14:val="solid"/>
            <w14:bevel/>
          </w14:textOutline>
        </w:rPr>
      </w:pPr>
    </w:p>
    <w:p w14:paraId="7BF8A122">
      <w:pPr>
        <w:pStyle w:val="2"/>
        <w:keepNext w:val="0"/>
        <w:keepLines w:val="0"/>
        <w:pageBreakBefore w:val="0"/>
        <w:kinsoku/>
        <w:wordWrap/>
        <w:overflowPunct w:val="0"/>
        <w:topLinePunct w:val="0"/>
        <w:bidi w:val="0"/>
      </w:pPr>
    </w:p>
    <w:p w14:paraId="2E5B6370">
      <w:pPr>
        <w:keepNext w:val="0"/>
        <w:keepLines w:val="0"/>
        <w:pageBreakBefore w:val="0"/>
        <w:kinsoku/>
        <w:wordWrap/>
        <w:overflowPunct w:val="0"/>
        <w:topLinePunct w:val="0"/>
        <w:bidi w:val="0"/>
        <w:spacing w:before="274" w:line="184" w:lineRule="auto"/>
        <w:ind w:left="2730" w:hanging="3010" w:hangingChars="700"/>
        <w:jc w:val="center"/>
        <w:rPr>
          <w:rFonts w:hint="default" w:ascii="宋体" w:hAnsi="宋体" w:eastAsia="宋体" w:cs="宋体"/>
          <w:b w:val="0"/>
          <w:bCs w:val="0"/>
          <w:spacing w:val="-45"/>
          <w:sz w:val="96"/>
          <w:szCs w:val="96"/>
          <w:lang w:val="en-US"/>
          <w14:textOutline w14:w="15252" w14:cap="sq" w14:cmpd="sng" w14:algn="ctr">
            <w14:solidFill>
              <w14:srgbClr w14:val="000000"/>
            </w14:solidFill>
            <w14:prstDash w14:val="solid"/>
            <w14:bevel/>
          </w14:textOutline>
        </w:rPr>
      </w:pPr>
      <w:r>
        <w:rPr>
          <w:rFonts w:hint="eastAsia" w:ascii="宋体" w:hAnsi="宋体" w:eastAsia="宋体" w:cs="宋体"/>
          <w:b w:val="0"/>
          <w:bCs w:val="0"/>
          <w:spacing w:val="-5"/>
          <w:sz w:val="44"/>
          <w:szCs w:val="44"/>
          <w:lang w:eastAsia="zh-CN"/>
          <w14:textOutline w14:w="7975" w14:cap="sq" w14:cmpd="sng" w14:algn="ctr">
            <w14:solidFill>
              <w14:srgbClr w14:val="000000"/>
            </w14:solidFill>
            <w14:prstDash w14:val="solid"/>
            <w14:bevel/>
          </w14:textOutline>
        </w:rPr>
        <w:t>潜山市中医院会议室改造工程</w:t>
      </w:r>
    </w:p>
    <w:p w14:paraId="124AC51F">
      <w:pPr>
        <w:keepNext w:val="0"/>
        <w:keepLines w:val="0"/>
        <w:pageBreakBefore w:val="0"/>
        <w:kinsoku/>
        <w:wordWrap/>
        <w:overflowPunct w:val="0"/>
        <w:topLinePunct w:val="0"/>
        <w:bidi w:val="0"/>
        <w:spacing w:before="274" w:line="184" w:lineRule="auto"/>
        <w:ind w:firstLine="2116"/>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pPr>
    </w:p>
    <w:p w14:paraId="24FA4DFF">
      <w:pPr>
        <w:keepNext w:val="0"/>
        <w:keepLines w:val="0"/>
        <w:pageBreakBefore w:val="0"/>
        <w:kinsoku/>
        <w:wordWrap/>
        <w:overflowPunct w:val="0"/>
        <w:topLinePunct w:val="0"/>
        <w:bidi w:val="0"/>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5AF8E87C">
      <w:pPr>
        <w:keepNext w:val="0"/>
        <w:keepLines w:val="0"/>
        <w:pageBreakBefore w:val="0"/>
        <w:kinsoku/>
        <w:wordWrap/>
        <w:overflowPunct w:val="0"/>
        <w:topLinePunct w:val="0"/>
        <w:bidi w:val="0"/>
        <w:spacing w:line="241" w:lineRule="auto"/>
        <w:rPr>
          <w:rFonts w:ascii="宋体"/>
        </w:rPr>
      </w:pPr>
    </w:p>
    <w:p w14:paraId="270358DE">
      <w:pPr>
        <w:keepNext w:val="0"/>
        <w:keepLines w:val="0"/>
        <w:pageBreakBefore w:val="0"/>
        <w:kinsoku/>
        <w:wordWrap/>
        <w:overflowPunct w:val="0"/>
        <w:topLinePunct w:val="0"/>
        <w:bidi w:val="0"/>
        <w:spacing w:line="242" w:lineRule="auto"/>
        <w:rPr>
          <w:rFonts w:ascii="宋体"/>
        </w:rPr>
      </w:pPr>
    </w:p>
    <w:p w14:paraId="484B9D4D">
      <w:pPr>
        <w:keepNext w:val="0"/>
        <w:keepLines w:val="0"/>
        <w:pageBreakBefore w:val="0"/>
        <w:kinsoku/>
        <w:wordWrap/>
        <w:overflowPunct w:val="0"/>
        <w:topLinePunct w:val="0"/>
        <w:bidi w:val="0"/>
        <w:spacing w:before="79" w:line="184" w:lineRule="auto"/>
        <w:ind w:firstLine="2970"/>
        <w:rPr>
          <w:rFonts w:hint="default" w:ascii="Calibri" w:hAnsi="Calibri" w:eastAsia="宋体" w:cs="Calibri"/>
          <w:sz w:val="24"/>
          <w:szCs w:val="24"/>
          <w:lang w:val="en-US" w:eastAsia="zh-CN"/>
        </w:rPr>
      </w:pPr>
      <w:r>
        <w:rPr>
          <w:rFonts w:ascii="宋体" w:hAnsi="宋体" w:eastAsia="宋体" w:cs="宋体"/>
          <w:spacing w:val="-10"/>
          <w:sz w:val="24"/>
          <w:szCs w:val="24"/>
          <w14:textOutline w14:w="4356" w14:cap="sq" w14:cmpd="sng" w14:algn="ctr">
            <w14:solidFill>
              <w14:srgbClr w14:val="000000"/>
            </w14:solidFill>
            <w14:prstDash w14:val="solid"/>
            <w14:bevel/>
          </w14:textOutline>
        </w:rPr>
        <w:t>项目编号：</w:t>
      </w:r>
      <w:r>
        <w:rPr>
          <w:rFonts w:hint="eastAsia" w:ascii="宋体" w:hAnsi="宋体" w:eastAsia="宋体" w:cs="宋体"/>
          <w:sz w:val="24"/>
          <w:szCs w:val="24"/>
          <w:u w:val="none"/>
          <w:lang w:val="en-US" w:eastAsia="zh-CN" w:bidi="ar"/>
        </w:rPr>
        <w:t xml:space="preserve"> </w:t>
      </w:r>
      <w:r>
        <w:rPr>
          <w:rFonts w:hint="eastAsia" w:ascii="宋体" w:hAnsi="宋体" w:eastAsia="宋体" w:cs="宋体"/>
          <w:spacing w:val="-10"/>
          <w:sz w:val="24"/>
          <w:szCs w:val="24"/>
          <w:lang w:eastAsia="zh-CN"/>
          <w14:textOutline w14:w="4356" w14:cap="sq" w14:cmpd="sng" w14:algn="ctr">
            <w14:solidFill>
              <w14:srgbClr w14:val="000000"/>
            </w14:solidFill>
            <w14:prstDash w14:val="solid"/>
            <w14:bevel/>
          </w14:textOutline>
        </w:rPr>
        <w:t>皖TJ-JS24040</w:t>
      </w:r>
      <w:r>
        <w:rPr>
          <w:rFonts w:hint="eastAsia" w:ascii="宋体" w:hAnsi="宋体" w:eastAsia="宋体" w:cs="宋体"/>
          <w:sz w:val="24"/>
          <w:szCs w:val="24"/>
          <w:u w:val="none"/>
          <w:lang w:val="en-US" w:eastAsia="zh-CN" w:bidi="ar"/>
        </w:rPr>
        <w:t xml:space="preserve">             </w:t>
      </w:r>
      <w:r>
        <w:rPr>
          <w:rFonts w:hint="eastAsia" w:ascii="宋体" w:hAnsi="宋体" w:eastAsia="宋体" w:cs="宋体"/>
          <w:b/>
          <w:bCs/>
          <w:color w:val="5C5C5C"/>
          <w:lang w:val="en-US" w:eastAsia="zh-CN"/>
        </w:rPr>
        <w:t xml:space="preserve">  </w:t>
      </w:r>
    </w:p>
    <w:p w14:paraId="27F3993C">
      <w:pPr>
        <w:keepNext w:val="0"/>
        <w:keepLines w:val="0"/>
        <w:pageBreakBefore w:val="0"/>
        <w:kinsoku/>
        <w:wordWrap/>
        <w:overflowPunct w:val="0"/>
        <w:topLinePunct w:val="0"/>
        <w:bidi w:val="0"/>
        <w:spacing w:line="246" w:lineRule="auto"/>
        <w:rPr>
          <w:rFonts w:ascii="宋体" w:eastAsia="宋体"/>
        </w:rPr>
      </w:pPr>
    </w:p>
    <w:p w14:paraId="666C879E">
      <w:pPr>
        <w:keepNext w:val="0"/>
        <w:keepLines w:val="0"/>
        <w:pageBreakBefore w:val="0"/>
        <w:kinsoku/>
        <w:wordWrap/>
        <w:overflowPunct w:val="0"/>
        <w:topLinePunct w:val="0"/>
        <w:bidi w:val="0"/>
        <w:spacing w:line="246" w:lineRule="auto"/>
        <w:rPr>
          <w:rFonts w:ascii="宋体"/>
        </w:rPr>
      </w:pPr>
    </w:p>
    <w:p w14:paraId="332E1603">
      <w:pPr>
        <w:keepNext w:val="0"/>
        <w:keepLines w:val="0"/>
        <w:pageBreakBefore w:val="0"/>
        <w:kinsoku/>
        <w:wordWrap/>
        <w:overflowPunct w:val="0"/>
        <w:topLinePunct w:val="0"/>
        <w:bidi w:val="0"/>
        <w:spacing w:line="246" w:lineRule="auto"/>
        <w:rPr>
          <w:rFonts w:ascii="宋体"/>
        </w:rPr>
      </w:pPr>
    </w:p>
    <w:p w14:paraId="66E32CA2">
      <w:pPr>
        <w:keepNext w:val="0"/>
        <w:keepLines w:val="0"/>
        <w:pageBreakBefore w:val="0"/>
        <w:kinsoku/>
        <w:wordWrap/>
        <w:overflowPunct w:val="0"/>
        <w:topLinePunct w:val="0"/>
        <w:bidi w:val="0"/>
        <w:spacing w:line="246" w:lineRule="auto"/>
        <w:rPr>
          <w:rFonts w:ascii="宋体"/>
        </w:rPr>
      </w:pPr>
    </w:p>
    <w:p w14:paraId="15BBE012">
      <w:pPr>
        <w:keepNext w:val="0"/>
        <w:keepLines w:val="0"/>
        <w:pageBreakBefore w:val="0"/>
        <w:kinsoku/>
        <w:wordWrap/>
        <w:overflowPunct w:val="0"/>
        <w:topLinePunct w:val="0"/>
        <w:bidi w:val="0"/>
        <w:spacing w:line="246" w:lineRule="auto"/>
        <w:rPr>
          <w:rFonts w:ascii="宋体"/>
        </w:rPr>
      </w:pPr>
    </w:p>
    <w:p w14:paraId="362299AA">
      <w:pPr>
        <w:pStyle w:val="2"/>
        <w:keepNext w:val="0"/>
        <w:keepLines w:val="0"/>
        <w:pageBreakBefore w:val="0"/>
        <w:kinsoku/>
        <w:wordWrap/>
        <w:overflowPunct w:val="0"/>
        <w:topLinePunct w:val="0"/>
        <w:bidi w:val="0"/>
        <w:rPr>
          <w:rFonts w:ascii="宋体"/>
        </w:rPr>
      </w:pPr>
    </w:p>
    <w:p w14:paraId="74ACA2EC">
      <w:pPr>
        <w:pStyle w:val="2"/>
        <w:keepNext w:val="0"/>
        <w:keepLines w:val="0"/>
        <w:pageBreakBefore w:val="0"/>
        <w:kinsoku/>
        <w:wordWrap/>
        <w:overflowPunct w:val="0"/>
        <w:topLinePunct w:val="0"/>
        <w:bidi w:val="0"/>
        <w:rPr>
          <w:rFonts w:ascii="宋体"/>
        </w:rPr>
      </w:pPr>
    </w:p>
    <w:p w14:paraId="73E0180E">
      <w:pPr>
        <w:keepNext w:val="0"/>
        <w:keepLines w:val="0"/>
        <w:pageBreakBefore w:val="0"/>
        <w:kinsoku/>
        <w:wordWrap/>
        <w:overflowPunct w:val="0"/>
        <w:topLinePunct w:val="0"/>
        <w:bidi w:val="0"/>
        <w:spacing w:line="247" w:lineRule="auto"/>
        <w:rPr>
          <w:rFonts w:ascii="宋体"/>
        </w:rPr>
      </w:pPr>
    </w:p>
    <w:p w14:paraId="35E889D1">
      <w:pPr>
        <w:keepNext w:val="0"/>
        <w:keepLines w:val="0"/>
        <w:pageBreakBefore w:val="0"/>
        <w:kinsoku/>
        <w:wordWrap/>
        <w:overflowPunct w:val="0"/>
        <w:topLinePunct w:val="0"/>
        <w:bidi w:val="0"/>
        <w:spacing w:line="247" w:lineRule="auto"/>
        <w:rPr>
          <w:rFonts w:ascii="宋体"/>
        </w:rPr>
      </w:pPr>
    </w:p>
    <w:p w14:paraId="29B8A155">
      <w:pPr>
        <w:keepNext w:val="0"/>
        <w:keepLines w:val="0"/>
        <w:pageBreakBefore w:val="0"/>
        <w:kinsoku/>
        <w:wordWrap/>
        <w:overflowPunct w:val="0"/>
        <w:topLinePunct w:val="0"/>
        <w:bidi w:val="0"/>
        <w:spacing w:line="247" w:lineRule="auto"/>
        <w:rPr>
          <w:rFonts w:ascii="宋体"/>
        </w:rPr>
      </w:pPr>
    </w:p>
    <w:p w14:paraId="36EDECA6">
      <w:pPr>
        <w:keepNext w:val="0"/>
        <w:keepLines w:val="0"/>
        <w:pageBreakBefore w:val="0"/>
        <w:kinsoku/>
        <w:wordWrap/>
        <w:overflowPunct w:val="0"/>
        <w:topLinePunct w:val="0"/>
        <w:bidi w:val="0"/>
        <w:spacing w:line="247" w:lineRule="auto"/>
        <w:rPr>
          <w:rFonts w:ascii="宋体"/>
        </w:rPr>
      </w:pPr>
    </w:p>
    <w:p w14:paraId="0C24846B">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djustRightInd w:val="0"/>
        <w:spacing w:before="0" w:beforeAutospacing="1" w:after="0" w:afterAutospacing="1" w:line="280" w:lineRule="exact"/>
        <w:ind w:left="0" w:right="0"/>
        <w:jc w:val="both"/>
        <w:textAlignment w:val="baseline"/>
        <w:rPr>
          <w:rFonts w:hint="default" w:ascii="宋体" w:hAnsi="宋体" w:eastAsia="宋体" w:cs="宋体"/>
          <w:spacing w:val="-23"/>
          <w:sz w:val="32"/>
          <w:szCs w:val="32"/>
          <w:lang w:val="en-US"/>
          <w14:textOutline w14:w="5791" w14:cap="sq" w14:cmpd="sng" w14:algn="ctr">
            <w14:solidFill>
              <w14:srgbClr w14:val="000000"/>
            </w14:solidFill>
            <w14:prstDash w14:val="solid"/>
            <w14:bevel/>
          </w14:textOutline>
        </w:rPr>
      </w:pPr>
      <w:r>
        <w:rPr>
          <w:rFonts w:ascii="宋体" w:hAnsi="宋体" w:eastAsia="宋体" w:cs="宋体"/>
          <w:spacing w:val="-23"/>
          <w:sz w:val="32"/>
          <w:szCs w:val="32"/>
          <w14:textOutline w14:w="5791" w14:cap="sq" w14:cmpd="sng" w14:algn="ctr">
            <w14:solidFill>
              <w14:srgbClr w14:val="000000"/>
            </w14:solidFill>
            <w14:prstDash w14:val="solid"/>
            <w14:bevel/>
          </w14:textOutline>
        </w:rPr>
        <w:t>招</w:t>
      </w:r>
      <w:r>
        <w:rPr>
          <w:rFonts w:ascii="宋体" w:hAnsi="宋体" w:eastAsia="宋体" w:cs="宋体"/>
          <w:spacing w:val="-29"/>
          <w:sz w:val="32"/>
          <w:szCs w:val="32"/>
        </w:rPr>
        <w:t xml:space="preserve"> </w:t>
      </w:r>
      <w:r>
        <w:rPr>
          <w:rFonts w:hint="eastAsia" w:ascii="宋体" w:hAnsi="宋体" w:eastAsia="宋体" w:cs="宋体"/>
          <w:spacing w:val="-29"/>
          <w:sz w:val="32"/>
          <w:szCs w:val="32"/>
          <w:lang w:val="en-US" w:eastAsia="zh-CN"/>
        </w:rPr>
        <w:t xml:space="preserve">  </w:t>
      </w:r>
      <w:r>
        <w:rPr>
          <w:rFonts w:ascii="宋体" w:hAnsi="宋体" w:eastAsia="宋体" w:cs="宋体"/>
          <w:spacing w:val="-23"/>
          <w:sz w:val="32"/>
          <w:szCs w:val="32"/>
          <w14:textOutline w14:w="5791" w14:cap="sq" w14:cmpd="sng" w14:algn="ctr">
            <w14:solidFill>
              <w14:srgbClr w14:val="000000"/>
            </w14:solidFill>
            <w14:prstDash w14:val="solid"/>
            <w14:bevel/>
          </w14:textOutline>
        </w:rPr>
        <w:t>标</w:t>
      </w:r>
      <w:r>
        <w:rPr>
          <w:rFonts w:ascii="宋体" w:hAnsi="宋体" w:eastAsia="宋体" w:cs="宋体"/>
          <w:spacing w:val="-32"/>
          <w:sz w:val="32"/>
          <w:szCs w:val="32"/>
        </w:rPr>
        <w:t xml:space="preserve"> </w:t>
      </w:r>
      <w:r>
        <w:rPr>
          <w:rFonts w:hint="eastAsia" w:ascii="宋体" w:hAnsi="宋体" w:eastAsia="宋体" w:cs="宋体"/>
          <w:spacing w:val="-32"/>
          <w:sz w:val="32"/>
          <w:szCs w:val="32"/>
          <w:lang w:val="en-US" w:eastAsia="zh-CN"/>
        </w:rPr>
        <w:t xml:space="preserve">  </w:t>
      </w:r>
      <w:r>
        <w:rPr>
          <w:rFonts w:ascii="宋体" w:hAnsi="宋体" w:eastAsia="宋体" w:cs="宋体"/>
          <w:spacing w:val="-23"/>
          <w:sz w:val="32"/>
          <w:szCs w:val="32"/>
          <w14:textOutline w14:w="5791" w14:cap="sq" w14:cmpd="sng" w14:algn="ctr">
            <w14:solidFill>
              <w14:srgbClr w14:val="000000"/>
            </w14:solidFill>
            <w14:prstDash w14:val="solid"/>
            <w14:bevel/>
          </w14:textOutline>
        </w:rPr>
        <w:t>人：</w:t>
      </w:r>
      <w:r>
        <w:rPr>
          <w:rFonts w:ascii="宋体" w:hAnsi="宋体" w:eastAsia="宋体" w:cs="宋体"/>
          <w:spacing w:val="7"/>
          <w:sz w:val="32"/>
          <w:szCs w:val="32"/>
          <w:u w:val="single"/>
        </w:rPr>
        <w:t xml:space="preserve"> </w:t>
      </w:r>
      <w:r>
        <w:rPr>
          <w:rFonts w:hint="eastAsia" w:ascii="宋体" w:hAnsi="宋体" w:eastAsia="宋体" w:cs="宋体"/>
          <w:spacing w:val="-23"/>
          <w:sz w:val="32"/>
          <w:szCs w:val="32"/>
          <w:u w:val="single"/>
          <w14:textOutline w14:w="5791" w14:cap="sq" w14:cmpd="sng" w14:algn="ctr">
            <w14:solidFill>
              <w14:srgbClr w14:val="000000"/>
            </w14:solidFill>
            <w14:prstDash w14:val="solid"/>
            <w14:bevel/>
          </w14:textOutline>
        </w:rPr>
        <w:t xml:space="preserve">   </w:t>
      </w:r>
      <w:r>
        <w:rPr>
          <w:rFonts w:hint="eastAsia" w:ascii="宋体" w:hAnsi="宋体" w:eastAsia="宋体" w:cs="宋体"/>
          <w:spacing w:val="-23"/>
          <w:sz w:val="32"/>
          <w:szCs w:val="32"/>
          <w:u w:val="single"/>
          <w:lang w:val="en-US" w:eastAsia="zh-CN"/>
          <w14:textOutline w14:w="5791" w14:cap="sq" w14:cmpd="sng" w14:algn="ctr">
            <w14:solidFill>
              <w14:srgbClr w14:val="000000"/>
            </w14:solidFill>
            <w14:prstDash w14:val="solid"/>
            <w14:bevel/>
          </w14:textOutline>
        </w:rPr>
        <w:t xml:space="preserve">     </w:t>
      </w:r>
      <w:r>
        <w:rPr>
          <w:rFonts w:hint="eastAsia" w:ascii="宋体" w:hAnsi="宋体" w:eastAsia="宋体" w:cs="宋体"/>
          <w:spacing w:val="-23"/>
          <w:sz w:val="32"/>
          <w:szCs w:val="32"/>
          <w:u w:val="single"/>
          <w14:textOutline w14:w="5791" w14:cap="sq" w14:cmpd="sng" w14:algn="ctr">
            <w14:solidFill>
              <w14:srgbClr w14:val="000000"/>
            </w14:solidFill>
            <w14:prstDash w14:val="solid"/>
            <w14:bevel/>
          </w14:textOutline>
        </w:rPr>
        <w:t xml:space="preserve"> </w:t>
      </w:r>
      <w:r>
        <w:rPr>
          <w:rFonts w:hint="eastAsia" w:ascii="宋体" w:hAnsi="宋体" w:eastAsia="宋体" w:cs="宋体"/>
          <w:spacing w:val="-23"/>
          <w:sz w:val="32"/>
          <w:szCs w:val="32"/>
          <w:u w:val="single"/>
          <w:lang w:val="en-US" w:eastAsia="zh-CN"/>
          <w14:textOutline w14:w="5791" w14:cap="sq" w14:cmpd="sng" w14:algn="ctr">
            <w14:solidFill>
              <w14:srgbClr w14:val="000000"/>
            </w14:solidFill>
            <w14:prstDash w14:val="solid"/>
            <w14:bevel/>
          </w14:textOutline>
        </w:rPr>
        <w:t xml:space="preserve">潜山市中医院            </w:t>
      </w:r>
    </w:p>
    <w:p w14:paraId="7B3A3FFB">
      <w:pPr>
        <w:keepNext w:val="0"/>
        <w:keepLines w:val="0"/>
        <w:widowControl/>
        <w:suppressLineNumbers w:val="0"/>
        <w:pBdr>
          <w:top w:val="none" w:color="auto" w:sz="0" w:space="0"/>
          <w:left w:val="none" w:color="auto" w:sz="0" w:space="0"/>
          <w:bottom w:val="none" w:color="auto" w:sz="0" w:space="0"/>
          <w:right w:val="none" w:color="auto" w:sz="0" w:space="0"/>
        </w:pBdr>
        <w:kinsoku w:val="0"/>
        <w:wordWrap w:val="0"/>
        <w:adjustRightInd w:val="0"/>
        <w:spacing w:before="0" w:beforeAutospacing="1" w:after="0" w:afterAutospacing="1" w:line="280" w:lineRule="exact"/>
        <w:ind w:left="0" w:right="0"/>
        <w:jc w:val="both"/>
        <w:textAlignment w:val="baseline"/>
        <w:rPr>
          <w:rFonts w:ascii="宋体" w:hAnsi="宋体" w:eastAsia="宋体" w:cs="宋体"/>
          <w:spacing w:val="-23"/>
          <w:sz w:val="32"/>
          <w:szCs w:val="32"/>
          <w14:textOutline w14:w="5791" w14:cap="sq" w14:cmpd="sng" w14:algn="ctr">
            <w14:solidFill>
              <w14:srgbClr w14:val="000000"/>
            </w14:solidFill>
            <w14:prstDash w14:val="solid"/>
            <w14:bevel/>
          </w14:textOutline>
        </w:rPr>
      </w:pPr>
    </w:p>
    <w:p w14:paraId="316A935B">
      <w:pPr>
        <w:keepNext w:val="0"/>
        <w:keepLines w:val="0"/>
        <w:pageBreakBefore w:val="0"/>
        <w:kinsoku/>
        <w:wordWrap/>
        <w:overflowPunct w:val="0"/>
        <w:topLinePunct w:val="0"/>
        <w:bidi w:val="0"/>
        <w:spacing w:line="276" w:lineRule="auto"/>
        <w:rPr>
          <w:rFonts w:ascii="宋体"/>
        </w:rPr>
      </w:pPr>
    </w:p>
    <w:p w14:paraId="757EC111">
      <w:pPr>
        <w:keepNext w:val="0"/>
        <w:keepLines w:val="0"/>
        <w:pageBreakBefore w:val="0"/>
        <w:kinsoku/>
        <w:wordWrap/>
        <w:overflowPunct w:val="0"/>
        <w:topLinePunct w:val="0"/>
        <w:bidi w:val="0"/>
        <w:spacing w:line="276" w:lineRule="auto"/>
        <w:rPr>
          <w:rFonts w:ascii="宋体"/>
        </w:rPr>
      </w:pPr>
    </w:p>
    <w:p w14:paraId="165CAF6E">
      <w:pPr>
        <w:keepNext w:val="0"/>
        <w:keepLines w:val="0"/>
        <w:pageBreakBefore w:val="0"/>
        <w:kinsoku/>
        <w:wordWrap/>
        <w:overflowPunct w:val="0"/>
        <w:topLinePunct w:val="0"/>
        <w:bidi w:val="0"/>
        <w:spacing w:before="104" w:line="184" w:lineRule="auto"/>
        <w:rPr>
          <w:rFonts w:ascii="宋体" w:hAnsi="宋体" w:eastAsia="宋体" w:cs="宋体"/>
          <w:sz w:val="32"/>
          <w:szCs w:val="32"/>
        </w:rPr>
      </w:pPr>
      <w:r>
        <w:rPr>
          <w:rFonts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val="en-US" w:eastAsia="zh-CN"/>
        </w:rPr>
        <w:t xml:space="preserve">  </w:t>
      </w:r>
      <w:r>
        <w:rPr>
          <w:rFonts w:hint="eastAsia" w:ascii="宋体" w:hAnsi="宋体" w:eastAsia="宋体" w:cs="宋体"/>
          <w:b/>
          <w:bCs/>
          <w:spacing w:val="31"/>
          <w:sz w:val="32"/>
          <w:szCs w:val="32"/>
          <w:u w:val="single"/>
          <w:lang w:eastAsia="zh-CN"/>
        </w:rPr>
        <w:t>安徽泰杰工程咨询有限公司</w:t>
      </w:r>
      <w:r>
        <w:rPr>
          <w:rFonts w:hint="eastAsia" w:ascii="宋体" w:hAnsi="宋体" w:eastAsia="宋体" w:cs="宋体"/>
          <w:b/>
          <w:bCs/>
          <w:spacing w:val="31"/>
          <w:sz w:val="32"/>
          <w:szCs w:val="32"/>
          <w:u w:val="single"/>
          <w:lang w:val="en-US" w:eastAsia="zh-CN"/>
        </w:rPr>
        <w:t xml:space="preserve"> </w:t>
      </w:r>
      <w:r>
        <w:rPr>
          <w:rFonts w:hint="eastAsia" w:ascii="宋体" w:hAnsi="宋体" w:eastAsia="宋体" w:cs="宋体"/>
          <w:b/>
          <w:bCs/>
          <w:spacing w:val="31"/>
          <w:sz w:val="32"/>
          <w:szCs w:val="32"/>
          <w:u w:val="single"/>
          <w:lang w:eastAsia="zh-CN"/>
        </w:rPr>
        <w:t xml:space="preserve"> </w:t>
      </w:r>
      <w:r>
        <w:rPr>
          <w:rFonts w:hint="eastAsia" w:ascii="宋体" w:hAnsi="宋体" w:eastAsia="宋体" w:cs="宋体"/>
          <w:b/>
          <w:bCs/>
          <w:spacing w:val="31"/>
          <w:sz w:val="32"/>
          <w:szCs w:val="32"/>
          <w:u w:val="single"/>
        </w:rPr>
        <w:t xml:space="preserve">  </w:t>
      </w:r>
    </w:p>
    <w:p w14:paraId="743EF472">
      <w:pPr>
        <w:keepNext w:val="0"/>
        <w:keepLines w:val="0"/>
        <w:pageBreakBefore w:val="0"/>
        <w:kinsoku/>
        <w:wordWrap/>
        <w:overflowPunct w:val="0"/>
        <w:topLinePunct w:val="0"/>
        <w:bidi w:val="0"/>
        <w:spacing w:line="275" w:lineRule="auto"/>
        <w:rPr>
          <w:rFonts w:ascii="宋体"/>
        </w:rPr>
      </w:pPr>
    </w:p>
    <w:p w14:paraId="61458019">
      <w:pPr>
        <w:keepNext w:val="0"/>
        <w:keepLines w:val="0"/>
        <w:pageBreakBefore w:val="0"/>
        <w:kinsoku/>
        <w:wordWrap/>
        <w:overflowPunct w:val="0"/>
        <w:topLinePunct w:val="0"/>
        <w:bidi w:val="0"/>
        <w:spacing w:line="276" w:lineRule="auto"/>
        <w:rPr>
          <w:rFonts w:ascii="宋体"/>
        </w:rPr>
      </w:pPr>
    </w:p>
    <w:p w14:paraId="070C0072">
      <w:pPr>
        <w:keepNext w:val="0"/>
        <w:keepLines w:val="0"/>
        <w:pageBreakBefore w:val="0"/>
        <w:kinsoku/>
        <w:wordWrap/>
        <w:overflowPunct w:val="0"/>
        <w:topLinePunct w:val="0"/>
        <w:bidi w:val="0"/>
        <w:spacing w:before="104" w:line="184" w:lineRule="auto"/>
        <w:ind w:firstLine="3200"/>
        <w:rPr>
          <w:rFonts w:ascii="宋体" w:hAnsi="宋体" w:eastAsia="宋体" w:cs="宋体"/>
          <w:sz w:val="32"/>
          <w:szCs w:val="32"/>
        </w:rPr>
      </w:pPr>
      <w:r>
        <w:rPr>
          <w:rFonts w:ascii="宋体" w:hAnsi="宋体" w:eastAsia="宋体" w:cs="宋体"/>
          <w:spacing w:val="-5"/>
          <w:sz w:val="32"/>
          <w:szCs w:val="32"/>
        </w:rPr>
        <w:t>二〇二</w:t>
      </w:r>
      <w:r>
        <w:rPr>
          <w:rFonts w:hint="eastAsia" w:ascii="宋体" w:hAnsi="宋体" w:eastAsia="宋体" w:cs="宋体"/>
          <w:spacing w:val="-5"/>
          <w:sz w:val="32"/>
          <w:szCs w:val="32"/>
          <w:lang w:val="en-US" w:eastAsia="zh-CN"/>
        </w:rPr>
        <w:t>四</w:t>
      </w:r>
      <w:r>
        <w:rPr>
          <w:rFonts w:ascii="宋体" w:hAnsi="宋体" w:eastAsia="宋体" w:cs="宋体"/>
          <w:spacing w:val="-5"/>
          <w:sz w:val="32"/>
          <w:szCs w:val="32"/>
        </w:rPr>
        <w:t>年</w:t>
      </w:r>
      <w:r>
        <w:rPr>
          <w:rFonts w:hint="eastAsia" w:ascii="宋体" w:hAnsi="宋体" w:eastAsia="宋体" w:cs="宋体"/>
          <w:spacing w:val="-5"/>
          <w:sz w:val="32"/>
          <w:szCs w:val="32"/>
          <w:lang w:val="en-US" w:eastAsia="zh-CN"/>
        </w:rPr>
        <w:t>八</w:t>
      </w:r>
      <w:r>
        <w:rPr>
          <w:rFonts w:ascii="宋体" w:hAnsi="宋体" w:eastAsia="宋体" w:cs="宋体"/>
          <w:spacing w:val="-5"/>
          <w:sz w:val="32"/>
          <w:szCs w:val="32"/>
        </w:rPr>
        <w:t>月</w:t>
      </w:r>
    </w:p>
    <w:p w14:paraId="521F981F">
      <w:pPr>
        <w:keepNext w:val="0"/>
        <w:keepLines w:val="0"/>
        <w:pageBreakBefore w:val="0"/>
        <w:kinsoku/>
        <w:wordWrap/>
        <w:overflowPunct w:val="0"/>
        <w:topLinePunct w:val="0"/>
        <w:bidi w:val="0"/>
        <w:sectPr>
          <w:footerReference r:id="rId5" w:type="default"/>
          <w:pgSz w:w="11906" w:h="16839"/>
          <w:pgMar w:top="1309" w:right="1531" w:bottom="0" w:left="1569" w:header="0" w:footer="0" w:gutter="0"/>
          <w:cols w:space="720" w:num="1"/>
        </w:sectPr>
      </w:pPr>
    </w:p>
    <w:p w14:paraId="2FDA16BE">
      <w:pPr>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topLinePunct w:val="0"/>
        <w:autoSpaceDE w:val="0"/>
        <w:autoSpaceDN w:val="0"/>
        <w:bidi w:val="0"/>
        <w:adjustRightInd w:val="0"/>
        <w:snapToGrid w:val="0"/>
        <w:spacing w:before="139" w:beforeAutospacing="0" w:after="0" w:afterAutospacing="1" w:line="360" w:lineRule="auto"/>
        <w:ind w:right="104" w:firstLine="281" w:firstLineChars="100"/>
        <w:jc w:val="center"/>
        <w:textAlignment w:val="baseline"/>
        <w:rPr>
          <w:rFonts w:ascii="宋体" w:hAnsi="宋体" w:eastAsia="宋体" w:cs="宋体"/>
          <w:b/>
          <w:bCs/>
          <w:sz w:val="28"/>
          <w:szCs w:val="28"/>
          <w:lang w:bidi="ar"/>
        </w:rPr>
      </w:pPr>
      <w:r>
        <w:rPr>
          <w:rFonts w:hint="eastAsia" w:ascii="宋体" w:hAnsi="宋体" w:eastAsia="宋体" w:cs="宋体"/>
          <w:b/>
          <w:bCs/>
          <w:sz w:val="28"/>
          <w:szCs w:val="28"/>
          <w:lang w:val="en-US" w:eastAsia="zh-CN" w:bidi="ar"/>
        </w:rPr>
        <w:t>潜山市中医院会议室改造工程</w:t>
      </w:r>
      <w:r>
        <w:rPr>
          <w:rFonts w:hint="eastAsia" w:ascii="宋体" w:hAnsi="宋体" w:eastAsia="宋体" w:cs="宋体"/>
          <w:b/>
          <w:bCs/>
          <w:sz w:val="28"/>
          <w:szCs w:val="28"/>
          <w:lang w:bidi="ar"/>
        </w:rPr>
        <w:t>交易公告</w:t>
      </w:r>
    </w:p>
    <w:p w14:paraId="3FDD39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topLinePunct w:val="0"/>
        <w:autoSpaceDE w:val="0"/>
        <w:autoSpaceDN w:val="0"/>
        <w:bidi w:val="0"/>
        <w:adjustRightInd w:val="0"/>
        <w:snapToGrid w:val="0"/>
        <w:spacing w:before="0" w:beforeAutospacing="0" w:after="0" w:afterAutospacing="0" w:line="360" w:lineRule="auto"/>
        <w:ind w:right="0" w:firstLine="482" w:firstLineChars="200"/>
        <w:jc w:val="both"/>
        <w:textAlignment w:val="baseline"/>
        <w:rPr>
          <w:rFonts w:hint="eastAsia" w:ascii="宋体" w:hAnsi="宋体" w:eastAsia="宋体" w:cs="宋体"/>
          <w:sz w:val="24"/>
          <w:szCs w:val="24"/>
          <w:lang w:bidi="ar"/>
        </w:rPr>
      </w:pPr>
      <w:r>
        <w:rPr>
          <w:rFonts w:hint="eastAsia" w:ascii="宋体" w:hAnsi="宋体" w:eastAsia="宋体" w:cs="宋体"/>
          <w:b/>
          <w:bCs/>
          <w:sz w:val="24"/>
          <w:szCs w:val="24"/>
          <w:lang w:eastAsia="zh-CN" w:bidi="ar"/>
        </w:rPr>
        <w:t>安徽泰杰工程咨询有限公司</w:t>
      </w:r>
      <w:r>
        <w:rPr>
          <w:rFonts w:hint="eastAsia" w:ascii="宋体" w:hAnsi="宋体" w:eastAsia="宋体" w:cs="宋体"/>
          <w:sz w:val="24"/>
          <w:szCs w:val="24"/>
          <w:lang w:bidi="ar"/>
        </w:rPr>
        <w:t>受</w:t>
      </w:r>
      <w:r>
        <w:rPr>
          <w:rFonts w:hint="eastAsia" w:ascii="宋体" w:hAnsi="宋体" w:eastAsia="宋体" w:cs="宋体"/>
          <w:b/>
          <w:bCs/>
          <w:snapToGrid w:val="0"/>
          <w:color w:val="000000"/>
          <w:kern w:val="0"/>
          <w:sz w:val="24"/>
          <w:szCs w:val="24"/>
          <w:vertAlign w:val="baseline"/>
          <w:lang w:val="en-US" w:eastAsia="zh-CN" w:bidi="ar"/>
        </w:rPr>
        <w:t>潜山市中医院</w:t>
      </w:r>
      <w:r>
        <w:rPr>
          <w:rFonts w:hint="eastAsia" w:ascii="宋体" w:hAnsi="宋体" w:eastAsia="宋体" w:cs="宋体"/>
          <w:sz w:val="24"/>
          <w:szCs w:val="24"/>
          <w:lang w:bidi="ar"/>
        </w:rPr>
        <w:t>委托，现对</w:t>
      </w:r>
      <w:r>
        <w:rPr>
          <w:rFonts w:hint="eastAsia" w:ascii="宋体" w:hAnsi="宋体" w:eastAsia="宋体" w:cs="宋体"/>
          <w:b/>
          <w:bCs/>
          <w:sz w:val="24"/>
          <w:szCs w:val="24"/>
          <w:lang w:val="en-US" w:eastAsia="zh-CN" w:bidi="ar"/>
        </w:rPr>
        <w:t>潜山市中医院会议室改造工程</w:t>
      </w:r>
      <w:r>
        <w:rPr>
          <w:rFonts w:hint="eastAsia" w:ascii="宋体" w:hAnsi="宋体" w:eastAsia="宋体" w:cs="宋体"/>
          <w:sz w:val="24"/>
          <w:szCs w:val="24"/>
          <w:lang w:bidi="ar"/>
        </w:rPr>
        <w:t>进行</w:t>
      </w:r>
      <w:r>
        <w:rPr>
          <w:rFonts w:hint="eastAsia" w:ascii="宋体" w:hAnsi="宋体" w:eastAsia="宋体" w:cs="宋体"/>
          <w:sz w:val="24"/>
          <w:szCs w:val="24"/>
          <w:lang w:val="en-US" w:eastAsia="zh-CN" w:bidi="ar"/>
        </w:rPr>
        <w:t>公告，</w:t>
      </w:r>
      <w:r>
        <w:rPr>
          <w:rFonts w:hint="eastAsia" w:ascii="宋体" w:hAnsi="宋体" w:eastAsia="宋体" w:cs="宋体"/>
          <w:sz w:val="24"/>
          <w:szCs w:val="24"/>
          <w:lang w:bidi="ar"/>
        </w:rPr>
        <w:t>欢</w:t>
      </w:r>
      <w:r>
        <w:rPr>
          <w:rFonts w:hint="eastAsia" w:ascii="宋体" w:hAnsi="宋体" w:eastAsia="宋体" w:cs="宋体"/>
          <w:sz w:val="24"/>
          <w:szCs w:val="24"/>
          <w:lang w:val="en-US" w:eastAsia="zh-CN" w:bidi="ar"/>
        </w:rPr>
        <w:t>迎潜</w:t>
      </w:r>
      <w:r>
        <w:rPr>
          <w:rFonts w:hint="eastAsia" w:ascii="宋体" w:hAnsi="宋体" w:eastAsia="宋体" w:cs="宋体"/>
          <w:sz w:val="24"/>
          <w:szCs w:val="24"/>
          <w:lang w:bidi="ar"/>
        </w:rPr>
        <w:t>山市网上商城供应商参与。</w:t>
      </w:r>
    </w:p>
    <w:p w14:paraId="5D5907B2">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一、项目名称及内容</w:t>
      </w:r>
    </w:p>
    <w:p w14:paraId="6A93730D">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bidi="ar"/>
        </w:rPr>
        <w:t>1.项目编号：</w:t>
      </w:r>
      <w:r>
        <w:rPr>
          <w:rFonts w:hint="eastAsia" w:ascii="宋体" w:hAnsi="宋体" w:eastAsia="宋体" w:cs="宋体"/>
          <w:sz w:val="24"/>
          <w:szCs w:val="24"/>
          <w:lang w:val="en-US" w:eastAsia="zh-CN" w:bidi="ar"/>
        </w:rPr>
        <w:t xml:space="preserve">皖TJ-JS24040   </w:t>
      </w:r>
      <w:r>
        <w:rPr>
          <w:rFonts w:hint="eastAsia" w:ascii="宋体" w:hAnsi="宋体" w:eastAsia="宋体" w:cs="宋体"/>
          <w:sz w:val="24"/>
          <w:szCs w:val="24"/>
          <w:u w:val="none"/>
          <w:lang w:val="en-US" w:eastAsia="zh-CN" w:bidi="ar"/>
        </w:rPr>
        <w:t xml:space="preserve"> </w:t>
      </w:r>
    </w:p>
    <w:p w14:paraId="270DCD11">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2.项目名称：</w:t>
      </w:r>
      <w:r>
        <w:rPr>
          <w:rFonts w:hint="eastAsia" w:ascii="宋体" w:hAnsi="宋体" w:eastAsia="宋体" w:cs="宋体"/>
          <w:sz w:val="24"/>
          <w:szCs w:val="24"/>
          <w:lang w:eastAsia="zh-CN" w:bidi="ar"/>
        </w:rPr>
        <w:t>潜山市中医院会议室改造工程</w:t>
      </w:r>
    </w:p>
    <w:p w14:paraId="748F8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topLinePunct w:val="0"/>
        <w:autoSpaceDE w:val="0"/>
        <w:autoSpaceDN w:val="0"/>
        <w:bidi w:val="0"/>
        <w:adjustRightInd w:val="0"/>
        <w:snapToGrid w:val="0"/>
        <w:spacing w:before="0" w:beforeAutospacing="0" w:after="0" w:afterAutospacing="0" w:line="360" w:lineRule="auto"/>
        <w:ind w:left="0" w:right="0" w:firstLine="480" w:firstLineChars="200"/>
        <w:jc w:val="left"/>
        <w:textAlignment w:val="baseline"/>
        <w:rPr>
          <w:rFonts w:hint="eastAsia" w:ascii="宋体" w:hAnsi="宋体" w:eastAsia="宋体" w:cs="宋体"/>
          <w:b w:val="0"/>
          <w:bCs w:val="0"/>
          <w:snapToGrid w:val="0"/>
          <w:color w:val="000000"/>
          <w:kern w:val="0"/>
          <w:sz w:val="24"/>
          <w:szCs w:val="24"/>
          <w:vertAlign w:val="baseline"/>
          <w:lang w:val="en-US" w:eastAsia="zh-CN" w:bidi="ar"/>
        </w:rPr>
      </w:pPr>
      <w:r>
        <w:rPr>
          <w:rFonts w:hint="eastAsia" w:ascii="宋体" w:hAnsi="宋体" w:eastAsia="宋体" w:cs="宋体"/>
          <w:sz w:val="24"/>
          <w:szCs w:val="24"/>
          <w:lang w:bidi="ar"/>
        </w:rPr>
        <w:t>3.项目地点：</w:t>
      </w:r>
      <w:r>
        <w:rPr>
          <w:rFonts w:hint="eastAsia" w:ascii="宋体" w:hAnsi="宋体" w:eastAsia="宋体" w:cs="宋体"/>
          <w:b w:val="0"/>
          <w:bCs w:val="0"/>
          <w:snapToGrid w:val="0"/>
          <w:color w:val="000000"/>
          <w:kern w:val="0"/>
          <w:sz w:val="24"/>
          <w:szCs w:val="24"/>
          <w:vertAlign w:val="baseline"/>
          <w:lang w:val="en-US" w:eastAsia="zh-CN" w:bidi="ar"/>
        </w:rPr>
        <w:t>潜山市中医院内</w:t>
      </w:r>
    </w:p>
    <w:p w14:paraId="5AAD93D4">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4.最高投标限价：</w:t>
      </w:r>
      <w:r>
        <w:rPr>
          <w:rFonts w:hint="eastAsia" w:ascii="宋体" w:hAnsi="宋体" w:eastAsia="宋体" w:cs="宋体"/>
          <w:color w:val="auto"/>
          <w:sz w:val="24"/>
          <w:szCs w:val="24"/>
          <w:highlight w:val="yellow"/>
          <w:u w:val="single"/>
          <w:lang w:val="en-US" w:eastAsia="zh-CN" w:bidi="ar"/>
        </w:rPr>
        <w:t xml:space="preserve"> 54621.76 </w:t>
      </w:r>
      <w:r>
        <w:rPr>
          <w:rFonts w:hint="eastAsia" w:ascii="宋体" w:hAnsi="宋体" w:eastAsia="宋体" w:cs="宋体"/>
          <w:color w:val="auto"/>
          <w:sz w:val="24"/>
          <w:szCs w:val="24"/>
          <w:highlight w:val="none"/>
          <w:lang w:bidi="ar"/>
        </w:rPr>
        <w:t>元，详见后附最高投标限价。</w:t>
      </w:r>
    </w:p>
    <w:p w14:paraId="2FC3FE66">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bidi="ar"/>
        </w:rPr>
        <w:t>5.</w:t>
      </w:r>
      <w:r>
        <w:rPr>
          <w:rFonts w:hint="eastAsia" w:ascii="宋体" w:hAnsi="宋体" w:eastAsia="宋体" w:cs="宋体"/>
          <w:b/>
          <w:bCs/>
          <w:color w:val="auto"/>
          <w:sz w:val="24"/>
          <w:szCs w:val="24"/>
          <w:highlight w:val="none"/>
          <w:lang w:bidi="ar"/>
        </w:rPr>
        <w:t>成交合同价（固定报价）：</w:t>
      </w:r>
      <w:r>
        <w:rPr>
          <w:rFonts w:hint="eastAsia" w:ascii="宋体" w:hAnsi="宋体" w:eastAsia="宋体" w:cs="宋体"/>
          <w:b/>
          <w:bCs/>
          <w:color w:val="auto"/>
          <w:sz w:val="24"/>
          <w:szCs w:val="24"/>
          <w:highlight w:val="yellow"/>
          <w:u w:val="single"/>
          <w:lang w:val="en-US" w:eastAsia="zh-CN" w:bidi="ar"/>
        </w:rPr>
        <w:t xml:space="preserve"> 48067.15 </w:t>
      </w:r>
      <w:r>
        <w:rPr>
          <w:rFonts w:hint="eastAsia" w:ascii="宋体" w:hAnsi="宋体" w:eastAsia="宋体" w:cs="宋体"/>
          <w:b/>
          <w:bCs/>
          <w:color w:val="auto"/>
          <w:sz w:val="24"/>
          <w:szCs w:val="24"/>
          <w:highlight w:val="none"/>
          <w:lang w:val="en-US" w:eastAsia="zh-CN" w:bidi="ar"/>
        </w:rPr>
        <w:t>元</w:t>
      </w:r>
    </w:p>
    <w:p w14:paraId="47E31F8F">
      <w:pPr>
        <w:keepNext w:val="0"/>
        <w:keepLines w:val="0"/>
        <w:pageBreakBefore w:val="0"/>
        <w:widowControl/>
        <w:topLinePunct w:val="0"/>
        <w:autoSpaceDE w:val="0"/>
        <w:autoSpaceDN w:val="0"/>
        <w:bidi w:val="0"/>
        <w:adjustRightInd w:val="0"/>
        <w:snapToGrid w:val="0"/>
        <w:spacing w:beforeAutospacing="0" w:afterAutospacing="0" w:line="360" w:lineRule="auto"/>
        <w:ind w:firstLine="480" w:firstLineChars="200"/>
        <w:textAlignment w:val="baseline"/>
        <w:rPr>
          <w:rFonts w:hint="default" w:ascii="Times New Roman" w:hAnsi="Times New Roman" w:eastAsia="宋体" w:cs="Times New Roman"/>
          <w:color w:val="auto"/>
          <w:sz w:val="24"/>
          <w:highlight w:val="none"/>
          <w:lang w:val="en-US" w:eastAsia="zh-CN"/>
        </w:rPr>
      </w:pPr>
      <w:r>
        <w:rPr>
          <w:rFonts w:hint="eastAsia" w:ascii="宋体" w:hAnsi="宋体" w:eastAsia="宋体" w:cs="宋体"/>
          <w:color w:val="auto"/>
          <w:sz w:val="24"/>
          <w:szCs w:val="24"/>
          <w:highlight w:val="none"/>
          <w:lang w:bidi="ar"/>
        </w:rPr>
        <w:t>6.项目内容：</w:t>
      </w:r>
      <w:r>
        <w:rPr>
          <w:rFonts w:hint="eastAsia" w:ascii="宋体" w:hAnsi="宋体" w:eastAsia="宋体" w:cs="Times New Roman"/>
          <w:color w:val="0000FF"/>
          <w:sz w:val="24"/>
          <w:highlight w:val="none"/>
        </w:rPr>
        <w:t>隔断隔墙拆除</w:t>
      </w:r>
      <w:r>
        <w:rPr>
          <w:rFonts w:hint="eastAsia" w:ascii="宋体" w:hAnsi="宋体" w:eastAsia="宋体" w:cs="Times New Roman"/>
          <w:color w:val="0000FF"/>
          <w:sz w:val="24"/>
          <w:highlight w:val="none"/>
          <w:lang w:eastAsia="zh-CN"/>
        </w:rPr>
        <w:t>、</w:t>
      </w:r>
      <w:r>
        <w:rPr>
          <w:rFonts w:hint="eastAsia" w:ascii="宋体" w:hAnsi="宋体" w:eastAsia="宋体" w:cs="Times New Roman"/>
          <w:color w:val="0000FF"/>
          <w:sz w:val="24"/>
          <w:highlight w:val="none"/>
        </w:rPr>
        <w:t>门窗拆除</w:t>
      </w:r>
      <w:r>
        <w:rPr>
          <w:rFonts w:hint="eastAsia" w:ascii="宋体" w:hAnsi="宋体" w:eastAsia="宋体" w:cs="Times New Roman"/>
          <w:color w:val="0000FF"/>
          <w:sz w:val="24"/>
          <w:highlight w:val="none"/>
          <w:lang w:eastAsia="zh-CN"/>
        </w:rPr>
        <w:t>、砖砌体拆除、</w:t>
      </w:r>
      <w:r>
        <w:rPr>
          <w:rFonts w:hint="eastAsia" w:ascii="宋体" w:hAnsi="宋体" w:eastAsia="宋体" w:cs="Times New Roman"/>
          <w:color w:val="0000FF"/>
          <w:sz w:val="24"/>
          <w:highlight w:val="none"/>
          <w:lang w:val="en-US" w:eastAsia="zh-CN"/>
        </w:rPr>
        <w:t>地板铺装、水电安装等，具体详见工程量清单。</w:t>
      </w:r>
    </w:p>
    <w:p w14:paraId="7E6778F4">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7.计划工期：</w:t>
      </w:r>
      <w:r>
        <w:rPr>
          <w:rFonts w:hint="eastAsia" w:ascii="宋体" w:hAnsi="宋体" w:eastAsia="宋体" w:cs="宋体"/>
          <w:color w:val="auto"/>
          <w:sz w:val="24"/>
          <w:szCs w:val="24"/>
          <w:highlight w:val="none"/>
          <w:lang w:val="en-US" w:eastAsia="zh-CN" w:bidi="ar"/>
        </w:rPr>
        <w:t>1</w:t>
      </w:r>
      <w:r>
        <w:rPr>
          <w:rFonts w:hint="eastAsia" w:ascii="宋体" w:hAnsi="宋体" w:eastAsia="宋体" w:cs="宋体"/>
          <w:color w:val="auto"/>
          <w:sz w:val="24"/>
          <w:szCs w:val="24"/>
          <w:highlight w:val="none"/>
          <w:u w:val="none"/>
          <w:lang w:val="en-US" w:eastAsia="zh-CN" w:bidi="ar"/>
        </w:rPr>
        <w:t>5日历天</w:t>
      </w:r>
    </w:p>
    <w:p w14:paraId="01D7DF99">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二、资质、资格要求</w:t>
      </w:r>
    </w:p>
    <w:p w14:paraId="165969C8">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bidi="ar"/>
        </w:rPr>
        <w:t>1.参与投标供应商须具备住房城乡建设主管部门颁发的</w:t>
      </w:r>
      <w:r>
        <w:rPr>
          <w:rFonts w:hint="eastAsia" w:ascii="宋体" w:hAnsi="宋体" w:eastAsia="宋体" w:cs="宋体"/>
          <w:b/>
          <w:bCs/>
          <w:sz w:val="24"/>
          <w:szCs w:val="24"/>
          <w:highlight w:val="none"/>
          <w:lang w:eastAsia="zh-CN" w:bidi="ar"/>
        </w:rPr>
        <w:t>建筑装修装饰工程专业承包二级（或以上）</w:t>
      </w:r>
      <w:r>
        <w:rPr>
          <w:rFonts w:hint="eastAsia" w:ascii="宋体" w:hAnsi="宋体" w:eastAsia="宋体" w:cs="宋体"/>
          <w:b/>
          <w:bCs/>
          <w:i w:val="0"/>
          <w:iCs w:val="0"/>
          <w:caps w:val="0"/>
          <w:color w:val="000000"/>
          <w:spacing w:val="0"/>
          <w:sz w:val="24"/>
          <w:szCs w:val="24"/>
        </w:rPr>
        <w:t>资质</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且具有有效的安全生产许可证。</w:t>
      </w:r>
    </w:p>
    <w:p w14:paraId="0D782BFE">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2.拟派项目经理须具有同时具备下列①、②、③要求：</w:t>
      </w:r>
    </w:p>
    <w:p w14:paraId="308DE1B2">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highlight w:val="none"/>
          <w:lang w:bidi="ar"/>
        </w:rPr>
        <w:t>①具有</w:t>
      </w:r>
      <w:r>
        <w:rPr>
          <w:rFonts w:hint="eastAsia" w:ascii="宋体" w:hAnsi="宋体" w:eastAsia="宋体" w:cs="宋体"/>
          <w:sz w:val="24"/>
          <w:szCs w:val="24"/>
          <w:highlight w:val="none"/>
          <w:lang w:val="en-US" w:eastAsia="zh-CN" w:bidi="ar"/>
        </w:rPr>
        <w:t>建筑工程</w:t>
      </w:r>
      <w:r>
        <w:rPr>
          <w:rFonts w:hint="eastAsia" w:ascii="宋体" w:hAnsi="宋体" w:eastAsia="宋体" w:cs="宋体"/>
          <w:sz w:val="24"/>
          <w:szCs w:val="24"/>
          <w:highlight w:val="none"/>
          <w:lang w:bidi="ar"/>
        </w:rPr>
        <w:t>专业二级（或以上）</w:t>
      </w:r>
      <w:r>
        <w:rPr>
          <w:rFonts w:hint="eastAsia" w:ascii="宋体" w:hAnsi="宋体" w:eastAsia="宋体" w:cs="宋体"/>
          <w:sz w:val="24"/>
          <w:szCs w:val="24"/>
          <w:lang w:bidi="ar"/>
        </w:rPr>
        <w:t>注册建造师执业资格；</w:t>
      </w:r>
    </w:p>
    <w:p w14:paraId="5A66DB59">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②取得建设行政主管部门颁发的安全生产考核合格证 B 证；</w:t>
      </w:r>
    </w:p>
    <w:p w14:paraId="50C01037">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lang w:bidi="ar"/>
        </w:rPr>
      </w:pPr>
      <w:r>
        <w:rPr>
          <w:rFonts w:hint="eastAsia" w:ascii="宋体" w:hAnsi="宋体" w:eastAsia="宋体" w:cs="宋体"/>
          <w:sz w:val="24"/>
          <w:szCs w:val="24"/>
          <w:lang w:bidi="ar"/>
        </w:rPr>
        <w:t>③投标截止日未在其他项目担任项目经理，或虽在其他项目上担任项目经理岗位，但承诺在本项目中标后合同签订</w:t>
      </w:r>
      <w:r>
        <w:rPr>
          <w:rFonts w:hint="eastAsia" w:ascii="宋体" w:hAnsi="宋体" w:eastAsia="宋体" w:cs="宋体"/>
          <w:b/>
          <w:bCs/>
          <w:sz w:val="24"/>
          <w:szCs w:val="24"/>
          <w:lang w:bidi="ar"/>
        </w:rPr>
        <w:t>（合同签订在法定时间为数据电文中标通知书发放之日起30日内）</w:t>
      </w:r>
      <w:r>
        <w:rPr>
          <w:rFonts w:hint="eastAsia" w:ascii="宋体" w:hAnsi="宋体" w:eastAsia="宋体" w:cs="宋体"/>
          <w:sz w:val="24"/>
          <w:szCs w:val="24"/>
          <w:lang w:bidi="ar"/>
        </w:rPr>
        <w:t>前能够从其他项目变更至本项目并全面履约。</w:t>
      </w:r>
    </w:p>
    <w:p w14:paraId="3778F22E">
      <w:pPr>
        <w:keepNext w:val="0"/>
        <w:keepLines w:val="0"/>
        <w:pageBreakBefore w:val="0"/>
        <w:widowControl/>
        <w:numPr>
          <w:ilvl w:val="0"/>
          <w:numId w:val="2"/>
        </w:numPr>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交易时间、地点、规则</w:t>
      </w:r>
    </w:p>
    <w:p w14:paraId="63145ADA">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hint="eastAsia" w:ascii="宋体" w:hAnsi="宋体" w:eastAsia="宋体" w:cs="宋体"/>
          <w:b/>
          <w:bCs/>
          <w:sz w:val="24"/>
          <w:szCs w:val="24"/>
          <w:highlight w:val="none"/>
          <w:u w:val="single"/>
          <w:lang w:eastAsia="zh-CN"/>
        </w:rPr>
      </w:pPr>
      <w:r>
        <w:rPr>
          <w:rFonts w:hint="eastAsia" w:ascii="宋体" w:hAnsi="宋体" w:eastAsia="宋体" w:cs="宋体"/>
          <w:sz w:val="24"/>
          <w:szCs w:val="24"/>
          <w:lang w:bidi="ar"/>
        </w:rPr>
        <w:t>1. 交易时</w:t>
      </w:r>
      <w:r>
        <w:rPr>
          <w:rFonts w:hint="eastAsia" w:ascii="宋体" w:hAnsi="宋体" w:eastAsia="宋体" w:cs="宋体"/>
          <w:sz w:val="24"/>
          <w:szCs w:val="24"/>
          <w:highlight w:val="none"/>
          <w:lang w:bidi="ar"/>
        </w:rPr>
        <w:t>间：</w:t>
      </w:r>
      <w:r>
        <w:rPr>
          <w:rFonts w:hint="eastAsia" w:ascii="宋体" w:hAnsi="宋体" w:eastAsia="宋体" w:cs="宋体"/>
          <w:b/>
          <w:bCs/>
          <w:sz w:val="24"/>
          <w:szCs w:val="24"/>
          <w:highlight w:val="none"/>
          <w:u w:val="single"/>
          <w:lang w:eastAsia="zh-CN" w:bidi="ar"/>
        </w:rPr>
        <w:t>2024年</w:t>
      </w:r>
      <w:r>
        <w:rPr>
          <w:rFonts w:hint="eastAsia" w:ascii="宋体" w:hAnsi="宋体" w:eastAsia="宋体" w:cs="宋体"/>
          <w:b/>
          <w:bCs/>
          <w:sz w:val="24"/>
          <w:szCs w:val="24"/>
          <w:highlight w:val="none"/>
          <w:u w:val="single"/>
          <w:lang w:val="en-US" w:eastAsia="zh-CN" w:bidi="ar"/>
        </w:rPr>
        <w:t>08</w:t>
      </w:r>
      <w:r>
        <w:rPr>
          <w:rFonts w:hint="eastAsia" w:ascii="宋体" w:hAnsi="宋体" w:eastAsia="宋体" w:cs="宋体"/>
          <w:b/>
          <w:bCs/>
          <w:sz w:val="24"/>
          <w:szCs w:val="24"/>
          <w:highlight w:val="none"/>
          <w:u w:val="single"/>
          <w:lang w:eastAsia="zh-CN" w:bidi="ar"/>
        </w:rPr>
        <w:t>月</w:t>
      </w:r>
      <w:r>
        <w:rPr>
          <w:rFonts w:hint="eastAsia" w:ascii="宋体" w:hAnsi="宋体" w:eastAsia="宋体" w:cs="宋体"/>
          <w:b/>
          <w:bCs/>
          <w:sz w:val="24"/>
          <w:szCs w:val="24"/>
          <w:highlight w:val="none"/>
          <w:u w:val="single"/>
          <w:lang w:val="en-US" w:eastAsia="zh-CN" w:bidi="ar"/>
        </w:rPr>
        <w:t>16</w:t>
      </w:r>
      <w:r>
        <w:rPr>
          <w:rFonts w:hint="eastAsia" w:ascii="宋体" w:hAnsi="宋体" w:eastAsia="宋体" w:cs="宋体"/>
          <w:b/>
          <w:bCs/>
          <w:sz w:val="24"/>
          <w:szCs w:val="24"/>
          <w:highlight w:val="none"/>
          <w:u w:val="single"/>
          <w:lang w:eastAsia="zh-CN" w:bidi="ar"/>
        </w:rPr>
        <w:t>日</w:t>
      </w:r>
      <w:r>
        <w:rPr>
          <w:rFonts w:hint="eastAsia" w:ascii="宋体" w:hAnsi="宋体" w:eastAsia="宋体" w:cs="宋体"/>
          <w:b/>
          <w:bCs/>
          <w:sz w:val="24"/>
          <w:szCs w:val="24"/>
          <w:highlight w:val="none"/>
          <w:u w:val="single"/>
          <w:lang w:val="en-US" w:eastAsia="zh-CN" w:bidi="ar"/>
        </w:rPr>
        <w:t>15</w:t>
      </w:r>
      <w:bookmarkStart w:id="1" w:name="_GoBack"/>
      <w:bookmarkEnd w:id="1"/>
      <w:r>
        <w:rPr>
          <w:rFonts w:hint="eastAsia" w:ascii="宋体" w:hAnsi="宋体" w:eastAsia="宋体" w:cs="宋体"/>
          <w:b/>
          <w:bCs/>
          <w:sz w:val="24"/>
          <w:szCs w:val="24"/>
          <w:highlight w:val="none"/>
          <w:u w:val="single"/>
          <w:lang w:eastAsia="zh-CN" w:bidi="ar"/>
        </w:rPr>
        <w:t>时</w:t>
      </w:r>
      <w:r>
        <w:rPr>
          <w:rFonts w:hint="eastAsia" w:ascii="宋体" w:hAnsi="宋体" w:eastAsia="宋体" w:cs="宋体"/>
          <w:b/>
          <w:bCs/>
          <w:sz w:val="24"/>
          <w:szCs w:val="24"/>
          <w:highlight w:val="none"/>
          <w:u w:val="single"/>
          <w:lang w:val="en-US" w:eastAsia="zh-CN" w:bidi="ar"/>
        </w:rPr>
        <w:t>00</w:t>
      </w:r>
      <w:r>
        <w:rPr>
          <w:rFonts w:hint="eastAsia" w:ascii="宋体" w:hAnsi="宋体" w:eastAsia="宋体" w:cs="宋体"/>
          <w:b/>
          <w:bCs/>
          <w:sz w:val="24"/>
          <w:szCs w:val="24"/>
          <w:highlight w:val="none"/>
          <w:u w:val="single"/>
          <w:lang w:eastAsia="zh-CN" w:bidi="ar"/>
        </w:rPr>
        <w:t>分</w:t>
      </w:r>
    </w:p>
    <w:p w14:paraId="751C7FEC">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p>
    <w:p w14:paraId="58942BCF">
      <w:pPr>
        <w:pStyle w:val="7"/>
        <w:keepNext w:val="0"/>
        <w:keepLines w:val="0"/>
        <w:pageBreakBefore w:val="0"/>
        <w:widowControl/>
        <w:kinsoku/>
        <w:wordWrap/>
        <w:overflowPunct w:val="0"/>
        <w:topLinePunct w:val="0"/>
        <w:autoSpaceDE w:val="0"/>
        <w:autoSpaceDN w:val="0"/>
        <w:bidi w:val="0"/>
        <w:adjustRightInd w:val="0"/>
        <w:snapToGrid w:val="0"/>
        <w:spacing w:before="0" w:beforeAutospacing="0" w:after="0" w:afterAutospacing="0" w:line="360" w:lineRule="auto"/>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55949365">
      <w:pPr>
        <w:keepNext w:val="0"/>
        <w:keepLines w:val="0"/>
        <w:pageBreakBefore w:val="0"/>
        <w:widowControl/>
        <w:kinsoku/>
        <w:wordWrap/>
        <w:overflowPunct w:val="0"/>
        <w:topLinePunct w:val="0"/>
        <w:autoSpaceDE w:val="0"/>
        <w:autoSpaceDN w:val="0"/>
        <w:bidi w:val="0"/>
        <w:adjustRightInd w:val="0"/>
        <w:snapToGrid w:val="0"/>
        <w:spacing w:beforeAutospacing="0" w:afterAutospacing="0" w:line="360" w:lineRule="auto"/>
        <w:ind w:firstLine="480" w:firstLineChars="200"/>
        <w:textAlignment w:val="baseline"/>
        <w:rPr>
          <w:rFonts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四、注意事项</w:t>
      </w:r>
    </w:p>
    <w:p w14:paraId="34E52580">
      <w:pPr>
        <w:pStyle w:val="7"/>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1.参与本项目的投标供应商须已通过网上商城单位信息申报。</w:t>
      </w:r>
    </w:p>
    <w:p w14:paraId="14F7A104">
      <w:pPr>
        <w:pStyle w:val="33"/>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eastAsia" w:ascii="宋体" w:hAnsi="宋体" w:eastAsia="宋体" w:cs="宋体"/>
          <w:snapToGrid w:val="0"/>
          <w:color w:val="auto"/>
          <w:sz w:val="24"/>
          <w:szCs w:val="24"/>
          <w:lang w:val="en-US" w:eastAsia="zh-CN" w:bidi="ar"/>
        </w:rPr>
        <w:t>2.报名的时间、地点</w:t>
      </w:r>
    </w:p>
    <w:p w14:paraId="29FA154B">
      <w:pPr>
        <w:pStyle w:val="33"/>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auto"/>
          <w:sz w:val="24"/>
          <w:szCs w:val="24"/>
          <w:lang w:val="en-US" w:eastAsia="zh-CN" w:bidi="ar"/>
        </w:rPr>
      </w:pPr>
      <w:r>
        <w:rPr>
          <w:rFonts w:hint="default" w:ascii="Calibri" w:hAnsi="Calibri" w:cs="Calibri" w:eastAsiaTheme="minorEastAsia"/>
          <w:snapToGrid w:val="0"/>
          <w:color w:val="auto"/>
          <w:sz w:val="22"/>
          <w:szCs w:val="22"/>
          <w:lang w:val="en-US" w:eastAsia="zh-CN" w:bidi="ar-SA"/>
        </w:rPr>
        <w:t>①</w:t>
      </w:r>
      <w:r>
        <w:rPr>
          <w:rFonts w:hint="default" w:ascii="Calibri" w:hAnsi="Calibri" w:eastAsia="宋体" w:cs="Calibri"/>
          <w:snapToGrid w:val="0"/>
          <w:color w:val="auto"/>
          <w:sz w:val="24"/>
          <w:szCs w:val="24"/>
          <w:lang w:val="en-US" w:eastAsia="zh-CN" w:bidi="ar"/>
        </w:rPr>
        <w:t>工本费：</w:t>
      </w:r>
      <w:r>
        <w:rPr>
          <w:rFonts w:hint="eastAsia" w:ascii="Calibri" w:hAnsi="Calibri" w:eastAsia="宋体" w:cs="Calibri"/>
          <w:snapToGrid w:val="0"/>
          <w:color w:val="auto"/>
          <w:sz w:val="24"/>
          <w:szCs w:val="24"/>
          <w:lang w:val="en-US" w:eastAsia="zh-CN" w:bidi="ar"/>
        </w:rPr>
        <w:t>0元</w:t>
      </w:r>
      <w:r>
        <w:rPr>
          <w:rFonts w:hint="default" w:ascii="Calibri" w:hAnsi="Calibri" w:eastAsia="宋体" w:cs="Calibri"/>
          <w:snapToGrid w:val="0"/>
          <w:color w:val="auto"/>
          <w:sz w:val="24"/>
          <w:szCs w:val="24"/>
          <w:lang w:val="en-US" w:eastAsia="zh-CN" w:bidi="ar"/>
        </w:rPr>
        <w:t>/本。</w:t>
      </w:r>
    </w:p>
    <w:p w14:paraId="12C533D4">
      <w:pPr>
        <w:pStyle w:val="4"/>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color w:val="auto"/>
          <w:sz w:val="24"/>
          <w:szCs w:val="24"/>
        </w:rPr>
      </w:pPr>
      <w:r>
        <w:rPr>
          <w:rFonts w:hint="default" w:ascii="Calibri" w:hAnsi="Calibri" w:cs="Calibri" w:eastAsiaTheme="minorEastAsia"/>
          <w:color w:val="auto"/>
          <w:sz w:val="22"/>
          <w:szCs w:val="22"/>
        </w:rPr>
        <w:t>②</w:t>
      </w:r>
      <w:r>
        <w:rPr>
          <w:rFonts w:hint="eastAsia" w:cs="宋体" w:asciiTheme="minorEastAsia" w:hAnsiTheme="minorEastAsia" w:eastAsiaTheme="minorEastAsia"/>
          <w:color w:val="auto"/>
          <w:sz w:val="24"/>
          <w:szCs w:val="24"/>
        </w:rPr>
        <w:t>时间：</w:t>
      </w:r>
      <w:r>
        <w:rPr>
          <w:rFonts w:hint="eastAsia" w:cs="宋体" w:asciiTheme="minorEastAsia" w:hAnsiTheme="minorEastAsia" w:eastAsiaTheme="minorEastAsia"/>
          <w:b/>
          <w:bCs w:val="0"/>
          <w:color w:val="auto"/>
          <w:sz w:val="24"/>
          <w:szCs w:val="24"/>
          <w:u w:val="none"/>
        </w:rPr>
        <w:t>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12</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00</w:t>
      </w:r>
      <w:r>
        <w:rPr>
          <w:rFonts w:hint="eastAsia" w:cs="宋体" w:asciiTheme="minorEastAsia" w:hAnsiTheme="minorEastAsia" w:eastAsiaTheme="minorEastAsia"/>
          <w:b/>
          <w:bCs w:val="0"/>
          <w:color w:val="auto"/>
          <w:sz w:val="24"/>
          <w:szCs w:val="24"/>
          <w:u w:val="none"/>
        </w:rPr>
        <w:t>分至2024年</w:t>
      </w:r>
      <w:r>
        <w:rPr>
          <w:rFonts w:hint="eastAsia" w:cs="宋体" w:asciiTheme="minorEastAsia" w:hAnsiTheme="minorEastAsia" w:eastAsiaTheme="minorEastAsia"/>
          <w:b/>
          <w:bCs w:val="0"/>
          <w:color w:val="auto"/>
          <w:sz w:val="24"/>
          <w:szCs w:val="24"/>
          <w:u w:val="none"/>
          <w:lang w:val="en-US" w:eastAsia="zh-CN"/>
        </w:rPr>
        <w:t>8</w:t>
      </w:r>
      <w:r>
        <w:rPr>
          <w:rFonts w:hint="eastAsia" w:cs="宋体" w:asciiTheme="minorEastAsia" w:hAnsiTheme="minorEastAsia" w:eastAsiaTheme="minorEastAsia"/>
          <w:b/>
          <w:bCs w:val="0"/>
          <w:color w:val="auto"/>
          <w:sz w:val="24"/>
          <w:szCs w:val="24"/>
          <w:u w:val="none"/>
        </w:rPr>
        <w:t>月</w:t>
      </w:r>
      <w:r>
        <w:rPr>
          <w:rFonts w:hint="eastAsia" w:cs="宋体" w:asciiTheme="minorEastAsia" w:hAnsiTheme="minorEastAsia" w:eastAsiaTheme="minorEastAsia"/>
          <w:b/>
          <w:bCs w:val="0"/>
          <w:color w:val="auto"/>
          <w:sz w:val="24"/>
          <w:szCs w:val="24"/>
          <w:u w:val="none"/>
          <w:lang w:val="en-US" w:eastAsia="zh-CN"/>
        </w:rPr>
        <w:t>15</w:t>
      </w:r>
      <w:r>
        <w:rPr>
          <w:rFonts w:hint="eastAsia" w:cs="宋体" w:asciiTheme="minorEastAsia" w:hAnsiTheme="minorEastAsia" w:eastAsiaTheme="minorEastAsia"/>
          <w:b/>
          <w:bCs w:val="0"/>
          <w:color w:val="auto"/>
          <w:sz w:val="24"/>
          <w:szCs w:val="24"/>
          <w:u w:val="none"/>
        </w:rPr>
        <w:t>日</w:t>
      </w:r>
      <w:r>
        <w:rPr>
          <w:rFonts w:hint="eastAsia" w:cs="宋体" w:asciiTheme="minorEastAsia" w:hAnsiTheme="minorEastAsia" w:eastAsiaTheme="minorEastAsia"/>
          <w:b/>
          <w:bCs w:val="0"/>
          <w:color w:val="auto"/>
          <w:sz w:val="24"/>
          <w:szCs w:val="24"/>
          <w:u w:val="none"/>
          <w:lang w:val="en-US" w:eastAsia="zh-CN"/>
        </w:rPr>
        <w:t>17</w:t>
      </w:r>
      <w:r>
        <w:rPr>
          <w:rFonts w:hint="eastAsia" w:cs="宋体" w:asciiTheme="minorEastAsia" w:hAnsiTheme="minorEastAsia" w:eastAsiaTheme="minorEastAsia"/>
          <w:b/>
          <w:bCs w:val="0"/>
          <w:color w:val="auto"/>
          <w:sz w:val="24"/>
          <w:szCs w:val="24"/>
          <w:u w:val="none"/>
        </w:rPr>
        <w:t>时</w:t>
      </w:r>
      <w:r>
        <w:rPr>
          <w:rFonts w:hint="eastAsia" w:cs="宋体" w:asciiTheme="minorEastAsia" w:hAnsiTheme="minorEastAsia" w:eastAsiaTheme="minorEastAsia"/>
          <w:b/>
          <w:bCs w:val="0"/>
          <w:color w:val="auto"/>
          <w:sz w:val="24"/>
          <w:szCs w:val="24"/>
          <w:u w:val="none"/>
          <w:lang w:val="en-US" w:eastAsia="zh-CN"/>
        </w:rPr>
        <w:t>30</w:t>
      </w:r>
      <w:r>
        <w:rPr>
          <w:rFonts w:hint="eastAsia" w:cs="宋体" w:asciiTheme="minorEastAsia" w:hAnsiTheme="minorEastAsia" w:eastAsiaTheme="minorEastAsia"/>
          <w:b/>
          <w:bCs w:val="0"/>
          <w:color w:val="auto"/>
          <w:sz w:val="24"/>
          <w:szCs w:val="24"/>
          <w:u w:val="none"/>
        </w:rPr>
        <w:t>分止。</w:t>
      </w:r>
      <w:r>
        <w:rPr>
          <w:rFonts w:cs="宋体" w:asciiTheme="minorEastAsia" w:hAnsiTheme="minorEastAsia" w:eastAsiaTheme="minorEastAsia"/>
          <w:b/>
          <w:bCs w:val="0"/>
          <w:color w:val="auto"/>
          <w:sz w:val="24"/>
          <w:szCs w:val="24"/>
          <w:u w:val="none"/>
        </w:rPr>
        <w:t xml:space="preserve"> </w:t>
      </w:r>
    </w:p>
    <w:p w14:paraId="5E1097F1">
      <w:pPr>
        <w:pStyle w:val="7"/>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eastAsia" w:ascii="宋体" w:hAnsi="宋体" w:eastAsia="宋体" w:cs="宋体"/>
          <w:snapToGrid w:val="0"/>
          <w:color w:val="000000"/>
          <w:kern w:val="0"/>
          <w:sz w:val="24"/>
          <w:szCs w:val="24"/>
          <w:lang w:val="en-US" w:eastAsia="zh-CN" w:bidi="ar"/>
        </w:rPr>
      </w:pPr>
      <w:r>
        <w:rPr>
          <w:rFonts w:hint="default" w:ascii="Calibri" w:hAnsi="Calibri" w:cs="Calibri" w:eastAsiaTheme="minorEastAsia"/>
          <w:snapToGrid w:val="0"/>
          <w:color w:val="auto"/>
          <w:sz w:val="22"/>
          <w:szCs w:val="22"/>
          <w:lang w:val="en-US" w:eastAsia="zh-CN" w:bidi="ar-SA"/>
        </w:rPr>
        <w:t>③</w:t>
      </w:r>
      <w:r>
        <w:rPr>
          <w:rFonts w:hint="eastAsia" w:cs="宋体" w:asciiTheme="minorEastAsia" w:hAnsiTheme="minorEastAsia" w:eastAsiaTheme="minorEastAsia"/>
          <w:b/>
          <w:color w:val="auto"/>
          <w:sz w:val="24"/>
          <w:szCs w:val="24"/>
        </w:rPr>
        <w:t>地点：</w:t>
      </w:r>
      <w:r>
        <w:rPr>
          <w:rFonts w:hint="eastAsia" w:cs="宋体" w:asciiTheme="minorEastAsia" w:hAnsiTheme="minorEastAsia" w:eastAsiaTheme="minorEastAsia"/>
          <w:b/>
          <w:color w:val="auto"/>
          <w:sz w:val="24"/>
          <w:szCs w:val="24"/>
          <w:lang w:eastAsia="zh-CN"/>
        </w:rPr>
        <w:t>安徽泰杰工程咨询有限公司</w:t>
      </w:r>
      <w:r>
        <w:rPr>
          <w:rFonts w:hint="eastAsia" w:cs="宋体" w:asciiTheme="minorEastAsia" w:hAnsiTheme="minorEastAsia" w:eastAsiaTheme="minorEastAsia"/>
          <w:b/>
          <w:color w:val="auto"/>
          <w:sz w:val="24"/>
          <w:szCs w:val="24"/>
        </w:rPr>
        <w:t>（地址：</w:t>
      </w:r>
      <w:r>
        <w:rPr>
          <w:rFonts w:hint="eastAsia" w:cs="宋体" w:asciiTheme="minorEastAsia" w:hAnsiTheme="minorEastAsia" w:eastAsiaTheme="minorEastAsia"/>
          <w:b/>
          <w:color w:val="auto"/>
          <w:sz w:val="24"/>
          <w:szCs w:val="24"/>
          <w:lang w:eastAsia="zh-CN"/>
        </w:rPr>
        <w:t>潜山市开发区三合路与八一路交叉口1栋3楼</w:t>
      </w:r>
      <w:r>
        <w:rPr>
          <w:rFonts w:hint="eastAsia" w:cs="宋体" w:asciiTheme="minorEastAsia" w:hAnsiTheme="minorEastAsia" w:eastAsiaTheme="minorEastAsia"/>
          <w:b/>
          <w:color w:val="auto"/>
          <w:sz w:val="24"/>
          <w:szCs w:val="24"/>
        </w:rPr>
        <w:t>）</w:t>
      </w:r>
    </w:p>
    <w:p w14:paraId="228BD186">
      <w:pPr>
        <w:pStyle w:val="7"/>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3.本项目采取公开随机抽取方式，开标现场抽签程序按以下步骤进行：</w:t>
      </w:r>
    </w:p>
    <w:p w14:paraId="7C837F26">
      <w:pPr>
        <w:pStyle w:val="7"/>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default"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①参与抽签的投标供应商代表持法定代表人身份证明或授权委托书原件到交易地点现场签到，按照开标现场签到顺序，逐一抽取本单位抽签编号；</w:t>
      </w:r>
    </w:p>
    <w:p w14:paraId="2DE29612">
      <w:pPr>
        <w:pStyle w:val="7"/>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②由招标人代表在开标现场通过随机抽取方式产生一个号码，投标供应商当次抽签编号与该号码相同的，该投标供应商即为本项目中签人；</w:t>
      </w:r>
    </w:p>
    <w:p w14:paraId="2048086A">
      <w:pPr>
        <w:pStyle w:val="7"/>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hint="eastAsia" w:ascii="宋体" w:hAnsi="宋体" w:eastAsia="宋体" w:cs="宋体"/>
          <w:snapToGrid w:val="0"/>
          <w:color w:val="000000"/>
          <w:kern w:val="0"/>
          <w:sz w:val="24"/>
          <w:szCs w:val="24"/>
          <w:lang w:val="en-US" w:eastAsia="zh-CN" w:bidi="ar"/>
        </w:rPr>
      </w:pPr>
      <w:r>
        <w:rPr>
          <w:rFonts w:hint="default" w:ascii="宋体" w:hAnsi="宋体" w:eastAsia="宋体" w:cs="宋体"/>
          <w:snapToGrid w:val="0"/>
          <w:color w:val="000000"/>
          <w:kern w:val="0"/>
          <w:sz w:val="24"/>
          <w:szCs w:val="24"/>
          <w:lang w:val="en-US" w:eastAsia="zh-CN" w:bidi="ar"/>
        </w:rPr>
        <w:t>③</w:t>
      </w:r>
      <w:r>
        <w:rPr>
          <w:rFonts w:hint="eastAsia" w:ascii="宋体" w:hAnsi="宋体" w:eastAsia="宋体" w:cs="宋体"/>
          <w:snapToGrid w:val="0"/>
          <w:color w:val="000000"/>
          <w:kern w:val="0"/>
          <w:sz w:val="24"/>
          <w:szCs w:val="24"/>
          <w:lang w:val="en-US" w:eastAsia="zh-CN" w:bidi="ar"/>
        </w:rPr>
        <w:t>开标现场由监督人监督。</w:t>
      </w:r>
    </w:p>
    <w:p w14:paraId="14B04789">
      <w:pPr>
        <w:pStyle w:val="7"/>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napToGrid w:val="0"/>
          <w:color w:val="000000"/>
          <w:kern w:val="0"/>
          <w:sz w:val="24"/>
          <w:szCs w:val="24"/>
          <w:lang w:val="en-US" w:eastAsia="zh-CN" w:bidi="ar"/>
        </w:rPr>
        <w:t>4</w:t>
      </w:r>
      <w:r>
        <w:rPr>
          <w:rFonts w:ascii="宋体" w:hAnsi="宋体" w:eastAsia="宋体" w:cs="宋体"/>
          <w:snapToGrid w:val="0"/>
          <w:color w:val="000000"/>
          <w:kern w:val="0"/>
          <w:sz w:val="24"/>
          <w:szCs w:val="24"/>
          <w:lang w:val="en-US" w:eastAsia="zh-CN" w:bidi="ar"/>
        </w:rPr>
        <w:t>.</w:t>
      </w: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5F9D9BB">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潜山市中医院官网、安徽泰杰工程咨询有限公司官网</w:t>
      </w:r>
      <w:r>
        <w:rPr>
          <w:rFonts w:hint="eastAsia" w:ascii="宋体" w:hAnsi="宋体" w:eastAsia="宋体" w:cs="宋体"/>
          <w:sz w:val="24"/>
          <w:szCs w:val="24"/>
          <w:lang w:bidi="ar"/>
        </w:rPr>
        <w:t>发布。</w:t>
      </w:r>
    </w:p>
    <w:p w14:paraId="0D2C7320">
      <w:pPr>
        <w:pStyle w:val="7"/>
        <w:keepNext w:val="0"/>
        <w:keepLines w:val="0"/>
        <w:pageBreakBefore w:val="0"/>
        <w:widowControl/>
        <w:kinsoku/>
        <w:wordWrap/>
        <w:overflowPunct w:val="0"/>
        <w:topLinePunct w:val="0"/>
        <w:autoSpaceDE w:val="0"/>
        <w:autoSpaceDN w:val="0"/>
        <w:bidi w:val="0"/>
        <w:adjustRightInd w:val="0"/>
        <w:snapToGrid w:val="0"/>
        <w:spacing w:before="0" w:beforeAutospacing="0" w:after="0" w:afterAutospacing="0" w:line="360" w:lineRule="auto"/>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各投标人应合理安排本单位项目负责人参与报名，在系统中不得选取有在建的项目负责人重复参与报名。</w:t>
      </w:r>
    </w:p>
    <w:p w14:paraId="5B6754A9">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7.本项目由项目单位</w:t>
      </w:r>
      <w:r>
        <w:rPr>
          <w:rFonts w:hint="eastAsia" w:ascii="宋体" w:hAnsi="宋体" w:eastAsia="宋体" w:cs="宋体"/>
          <w:b/>
          <w:bCs/>
          <w:sz w:val="24"/>
          <w:szCs w:val="24"/>
          <w:u w:val="single"/>
          <w:lang w:eastAsia="zh-CN" w:bidi="ar"/>
        </w:rPr>
        <w:t>潜山市中医院</w:t>
      </w:r>
      <w:r>
        <w:rPr>
          <w:rFonts w:hint="eastAsia" w:ascii="宋体" w:hAnsi="宋体" w:eastAsia="宋体" w:cs="宋体"/>
          <w:sz w:val="24"/>
          <w:szCs w:val="24"/>
          <w:lang w:bidi="ar"/>
        </w:rPr>
        <w:t>自主选择进入网上商城交易。项目单位将严格落实项目单位主体责任，履行相应职责，遵守相关规定，对项目报件、预算控制、清单控制价编制、交易公告、异议答复、成交公示、成交供应 商资格后审、投诉处理、交易成交（或失败） 、合同履约、项目验收、评价等全过程交易活动及环节负责。</w:t>
      </w:r>
    </w:p>
    <w:p w14:paraId="18921BA2">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8.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44678F68">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bidi="ar"/>
        </w:rPr>
      </w:pPr>
      <w:r>
        <w:rPr>
          <w:rFonts w:hint="eastAsia" w:ascii="宋体" w:hAnsi="宋体" w:eastAsia="宋体" w:cs="宋体"/>
          <w:sz w:val="24"/>
          <w:szCs w:val="24"/>
          <w:lang w:bidi="ar"/>
        </w:rPr>
        <w:t>五、联系方式</w:t>
      </w:r>
    </w:p>
    <w:p w14:paraId="5BAC2510">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b w:val="0"/>
          <w:bCs w:val="0"/>
          <w:snapToGrid w:val="0"/>
          <w:color w:val="000000"/>
          <w:kern w:val="0"/>
          <w:sz w:val="24"/>
          <w:szCs w:val="24"/>
          <w:vertAlign w:val="baseline"/>
          <w:lang w:val="en-US" w:eastAsia="zh-CN" w:bidi="ar"/>
        </w:rPr>
        <w:t>潜山市中医院</w:t>
      </w:r>
    </w:p>
    <w:p w14:paraId="0EE938FA">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ascii="宋体" w:hAnsi="宋体"/>
          <w:color w:val="000000" w:themeColor="text1"/>
          <w:sz w:val="24"/>
          <w:highlight w:val="none"/>
          <w14:textFill>
            <w14:solidFill>
              <w14:schemeClr w14:val="tx1"/>
            </w14:solidFill>
          </w14:textFill>
        </w:rPr>
      </w:pPr>
      <w:r>
        <w:rPr>
          <w:rFonts w:hint="eastAsia" w:ascii="宋体" w:hAnsi="宋体" w:eastAsia="宋体" w:cs="宋体"/>
          <w:sz w:val="24"/>
          <w:szCs w:val="24"/>
          <w:highlight w:val="none"/>
          <w:lang w:bidi="ar"/>
        </w:rPr>
        <w:t>地址：</w:t>
      </w:r>
      <w:r>
        <w:rPr>
          <w:rFonts w:hint="eastAsia" w:ascii="宋体" w:hAnsi="宋体" w:eastAsia="宋体" w:cs="宋体"/>
          <w:sz w:val="24"/>
          <w:szCs w:val="24"/>
          <w:lang w:eastAsia="zh-CN" w:bidi="ar"/>
        </w:rPr>
        <w:t>潜山市</w:t>
      </w:r>
      <w:r>
        <w:rPr>
          <w:rFonts w:hint="eastAsia" w:ascii="宋体" w:hAnsi="宋体"/>
          <w:color w:val="000000" w:themeColor="text1"/>
          <w:sz w:val="24"/>
          <w:highlight w:val="none"/>
          <w14:textFill>
            <w14:solidFill>
              <w14:schemeClr w14:val="tx1"/>
            </w14:solidFill>
          </w14:textFill>
        </w:rPr>
        <w:t xml:space="preserve"> </w:t>
      </w:r>
    </w:p>
    <w:p w14:paraId="5E015ABA">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联系人：</w:t>
      </w:r>
      <w:r>
        <w:rPr>
          <w:rFonts w:hint="eastAsia" w:ascii="宋体" w:hAnsi="宋体" w:eastAsia="宋体" w:cs="宋体"/>
          <w:sz w:val="24"/>
          <w:szCs w:val="24"/>
          <w:highlight w:val="none"/>
          <w:lang w:val="en-US" w:eastAsia="zh-CN" w:bidi="ar"/>
        </w:rPr>
        <w:t>詹先生</w:t>
      </w:r>
    </w:p>
    <w:p w14:paraId="6573F5F9">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eastAsia="zh-CN" w:bidi="ar"/>
        </w:rPr>
        <w:t>13866628658</w:t>
      </w:r>
    </w:p>
    <w:p w14:paraId="2E5F7634">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5F69C910">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地　  址：潜山市开发区八一大道与三合路交叉口1幢1号</w:t>
      </w:r>
    </w:p>
    <w:p w14:paraId="355B9148">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eastAsia="zh-CN" w:bidi="ar"/>
        </w:rPr>
        <w:t>联系人：</w:t>
      </w:r>
      <w:r>
        <w:rPr>
          <w:rFonts w:hint="eastAsia" w:ascii="宋体" w:hAnsi="宋体" w:eastAsia="宋体" w:cs="宋体"/>
          <w:sz w:val="24"/>
          <w:szCs w:val="24"/>
          <w:lang w:val="en-US" w:eastAsia="zh-CN" w:bidi="ar"/>
        </w:rPr>
        <w:t>熊晗晖</w:t>
      </w:r>
      <w:r>
        <w:rPr>
          <w:rFonts w:hint="eastAsia" w:ascii="宋体" w:hAnsi="宋体" w:eastAsia="宋体" w:cs="宋体"/>
          <w:sz w:val="24"/>
          <w:szCs w:val="24"/>
          <w:lang w:eastAsia="zh-CN" w:bidi="ar"/>
        </w:rPr>
        <w:t xml:space="preserve">      </w:t>
      </w:r>
    </w:p>
    <w:p w14:paraId="1C1BB107">
      <w:pPr>
        <w:keepNext w:val="0"/>
        <w:keepLines w:val="0"/>
        <w:pageBreakBefore w:val="0"/>
        <w:widowControl/>
        <w:kinsoku/>
        <w:wordWrap/>
        <w:overflowPunct w:val="0"/>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bidi="ar"/>
        </w:rPr>
      </w:pPr>
      <w:r>
        <w:rPr>
          <w:rFonts w:hint="eastAsia" w:ascii="宋体" w:hAnsi="宋体" w:eastAsia="宋体" w:cs="宋体"/>
          <w:sz w:val="24"/>
          <w:szCs w:val="24"/>
          <w:lang w:eastAsia="zh-CN" w:bidi="ar"/>
        </w:rPr>
        <w:t>联系方式：0556-8247888、</w:t>
      </w:r>
      <w:r>
        <w:rPr>
          <w:rFonts w:hint="eastAsia" w:ascii="宋体" w:hAnsi="宋体" w:eastAsia="宋体" w:cs="宋体"/>
          <w:sz w:val="24"/>
          <w:szCs w:val="24"/>
          <w:lang w:val="en-US" w:eastAsia="zh-CN" w:bidi="ar"/>
        </w:rPr>
        <w:t>19397056275</w:t>
      </w:r>
    </w:p>
    <w:p w14:paraId="7A73FAFF">
      <w:pPr>
        <w:keepNext w:val="0"/>
        <w:keepLines w:val="0"/>
        <w:pageBreakBefore w:val="0"/>
        <w:widowControl/>
        <w:kinsoku/>
        <w:wordWrap/>
        <w:overflowPunct w:val="0"/>
        <w:topLinePunct w:val="0"/>
        <w:autoSpaceDE w:val="0"/>
        <w:autoSpaceDN w:val="0"/>
        <w:bidi w:val="0"/>
        <w:adjustRightInd w:val="0"/>
        <w:snapToGrid w:val="0"/>
        <w:spacing w:line="240" w:lineRule="auto"/>
        <w:jc w:val="right"/>
        <w:textAlignment w:val="baseline"/>
        <w:rPr>
          <w:rFonts w:ascii="宋体" w:hAnsi="宋体" w:eastAsia="宋体" w:cs="宋体"/>
          <w:sz w:val="24"/>
          <w:szCs w:val="24"/>
        </w:rPr>
      </w:pPr>
      <w:r>
        <w:rPr>
          <w:rFonts w:hint="eastAsia" w:ascii="宋体" w:hAnsi="宋体" w:eastAsia="宋体" w:cs="宋体"/>
          <w:sz w:val="24"/>
          <w:szCs w:val="24"/>
          <w:lang w:bidi="ar"/>
        </w:rPr>
        <w:t>                                          </w:t>
      </w:r>
      <w:r>
        <w:rPr>
          <w:rFonts w:hint="eastAsia" w:ascii="宋体" w:hAnsi="宋体" w:eastAsia="宋体" w:cs="宋体"/>
          <w:color w:val="auto"/>
          <w:sz w:val="24"/>
          <w:szCs w:val="24"/>
          <w:lang w:bidi="ar"/>
        </w:rPr>
        <w:t> 202</w:t>
      </w: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年</w:t>
      </w:r>
      <w:r>
        <w:rPr>
          <w:rFonts w:hint="eastAsia" w:ascii="宋体" w:hAnsi="宋体" w:eastAsia="宋体" w:cs="宋体"/>
          <w:color w:val="auto"/>
          <w:sz w:val="24"/>
          <w:szCs w:val="24"/>
          <w:u w:val="single"/>
          <w:lang w:val="en-US" w:eastAsia="zh-CN" w:bidi="ar"/>
        </w:rPr>
        <w:t xml:space="preserve"> 8 </w:t>
      </w:r>
      <w:r>
        <w:rPr>
          <w:rFonts w:hint="eastAsia" w:ascii="宋体" w:hAnsi="宋体" w:eastAsia="宋体" w:cs="宋体"/>
          <w:color w:val="auto"/>
          <w:sz w:val="24"/>
          <w:szCs w:val="24"/>
          <w:lang w:bidi="ar"/>
        </w:rPr>
        <w:t>月</w:t>
      </w:r>
      <w:r>
        <w:rPr>
          <w:rFonts w:hint="eastAsia" w:ascii="宋体" w:hAnsi="宋体" w:eastAsia="宋体" w:cs="宋体"/>
          <w:color w:val="auto"/>
          <w:sz w:val="24"/>
          <w:szCs w:val="24"/>
          <w:u w:val="single"/>
          <w:lang w:val="en-US" w:eastAsia="zh-CN" w:bidi="ar"/>
        </w:rPr>
        <w:t xml:space="preserve"> 12 </w:t>
      </w:r>
      <w:r>
        <w:rPr>
          <w:rFonts w:hint="eastAsia" w:ascii="宋体" w:hAnsi="宋体" w:eastAsia="宋体" w:cs="宋体"/>
          <w:color w:val="auto"/>
          <w:sz w:val="24"/>
          <w:szCs w:val="24"/>
          <w:lang w:bidi="ar"/>
        </w:rPr>
        <w:t>日</w:t>
      </w:r>
    </w:p>
    <w:p w14:paraId="4D3FC741">
      <w:pPr>
        <w:keepNext w:val="0"/>
        <w:keepLines w:val="0"/>
        <w:pageBreakBefore w:val="0"/>
        <w:widowControl/>
        <w:kinsoku/>
        <w:wordWrap/>
        <w:overflowPunct w:val="0"/>
        <w:topLinePunct w:val="0"/>
        <w:autoSpaceDE w:val="0"/>
        <w:autoSpaceDN w:val="0"/>
        <w:bidi w:val="0"/>
        <w:adjustRightInd w:val="0"/>
        <w:snapToGrid w:val="0"/>
        <w:spacing w:line="240" w:lineRule="auto"/>
        <w:ind w:firstLine="480" w:firstLineChars="200"/>
        <w:jc w:val="center"/>
        <w:textAlignment w:val="baseline"/>
        <w:rPr>
          <w:rFonts w:ascii="宋体" w:hAnsi="宋体" w:eastAsia="宋体" w:cs="宋体"/>
          <w:sz w:val="24"/>
          <w:szCs w:val="24"/>
        </w:rPr>
      </w:pPr>
    </w:p>
    <w:p w14:paraId="31702A64">
      <w:pPr>
        <w:pStyle w:val="8"/>
        <w:keepNext w:val="0"/>
        <w:keepLines w:val="0"/>
        <w:pageBreakBefore w:val="0"/>
        <w:widowControl/>
        <w:kinsoku/>
        <w:wordWrap/>
        <w:overflowPunct w:val="0"/>
        <w:topLinePunct w:val="0"/>
        <w:autoSpaceDE w:val="0"/>
        <w:autoSpaceDN w:val="0"/>
        <w:bidi w:val="0"/>
        <w:adjustRightInd w:val="0"/>
        <w:snapToGrid w:val="0"/>
        <w:spacing w:line="360" w:lineRule="auto"/>
        <w:ind w:firstLine="0" w:firstLineChars="0"/>
        <w:textAlignment w:val="baseline"/>
        <w:rPr>
          <w:rFonts w:ascii="宋体" w:hAnsi="宋体" w:eastAsia="宋体" w:cs="宋体"/>
          <w:sz w:val="24"/>
          <w:szCs w:val="24"/>
        </w:rPr>
      </w:pPr>
    </w:p>
    <w:p w14:paraId="3CB24C77">
      <w:pPr>
        <w:pStyle w:val="8"/>
        <w:keepNext w:val="0"/>
        <w:keepLines w:val="0"/>
        <w:pageBreakBefore w:val="0"/>
        <w:widowControl/>
        <w:kinsoku/>
        <w:wordWrap/>
        <w:overflowPunct w:val="0"/>
        <w:topLinePunct w:val="0"/>
        <w:autoSpaceDE w:val="0"/>
        <w:autoSpaceDN w:val="0"/>
        <w:bidi w:val="0"/>
        <w:adjustRightInd w:val="0"/>
        <w:snapToGrid w:val="0"/>
        <w:ind w:firstLine="0" w:firstLineChars="0"/>
        <w:textAlignment w:val="baseline"/>
        <w:rPr>
          <w:rFonts w:ascii="宋体" w:hAnsi="宋体" w:eastAsia="宋体" w:cs="宋体"/>
          <w:sz w:val="24"/>
          <w:szCs w:val="24"/>
        </w:rPr>
      </w:pPr>
    </w:p>
    <w:p w14:paraId="13DB84EB">
      <w:pPr>
        <w:pStyle w:val="8"/>
        <w:keepNext w:val="0"/>
        <w:keepLines w:val="0"/>
        <w:pageBreakBefore w:val="0"/>
        <w:widowControl/>
        <w:kinsoku/>
        <w:wordWrap/>
        <w:overflowPunct w:val="0"/>
        <w:topLinePunct w:val="0"/>
        <w:autoSpaceDE w:val="0"/>
        <w:autoSpaceDN w:val="0"/>
        <w:bidi w:val="0"/>
        <w:adjustRightInd w:val="0"/>
        <w:snapToGrid w:val="0"/>
        <w:ind w:firstLine="0" w:firstLineChars="0"/>
        <w:textAlignment w:val="baseline"/>
        <w:rPr>
          <w:rFonts w:ascii="宋体" w:hAnsi="宋体" w:eastAsia="宋体" w:cs="宋体"/>
          <w:sz w:val="24"/>
          <w:szCs w:val="24"/>
        </w:rPr>
      </w:pPr>
    </w:p>
    <w:p w14:paraId="7924F5C0">
      <w:pPr>
        <w:pStyle w:val="8"/>
        <w:keepNext w:val="0"/>
        <w:keepLines w:val="0"/>
        <w:pageBreakBefore w:val="0"/>
        <w:widowControl/>
        <w:kinsoku/>
        <w:wordWrap/>
        <w:overflowPunct w:val="0"/>
        <w:topLinePunct w:val="0"/>
        <w:autoSpaceDE w:val="0"/>
        <w:autoSpaceDN w:val="0"/>
        <w:bidi w:val="0"/>
        <w:adjustRightInd w:val="0"/>
        <w:snapToGrid w:val="0"/>
        <w:ind w:firstLine="0" w:firstLineChars="0"/>
        <w:textAlignment w:val="baseline"/>
        <w:rPr>
          <w:rFonts w:ascii="宋体" w:hAnsi="宋体" w:eastAsia="宋体" w:cs="宋体"/>
          <w:sz w:val="24"/>
          <w:szCs w:val="24"/>
        </w:rPr>
      </w:pPr>
    </w:p>
    <w:p w14:paraId="0DBC53B1">
      <w:pPr>
        <w:pStyle w:val="8"/>
        <w:keepNext w:val="0"/>
        <w:keepLines w:val="0"/>
        <w:pageBreakBefore w:val="0"/>
        <w:widowControl/>
        <w:kinsoku/>
        <w:wordWrap/>
        <w:overflowPunct w:val="0"/>
        <w:topLinePunct w:val="0"/>
        <w:autoSpaceDE w:val="0"/>
        <w:autoSpaceDN w:val="0"/>
        <w:bidi w:val="0"/>
        <w:adjustRightInd w:val="0"/>
        <w:snapToGrid w:val="0"/>
        <w:ind w:firstLine="0" w:firstLineChars="0"/>
        <w:textAlignment w:val="baseline"/>
        <w:rPr>
          <w:rFonts w:ascii="宋体" w:hAnsi="宋体" w:eastAsia="宋体" w:cs="宋体"/>
          <w:sz w:val="24"/>
          <w:szCs w:val="24"/>
        </w:rPr>
      </w:pPr>
    </w:p>
    <w:p w14:paraId="6541E7C9">
      <w:pPr>
        <w:pStyle w:val="8"/>
        <w:keepNext w:val="0"/>
        <w:keepLines w:val="0"/>
        <w:pageBreakBefore w:val="0"/>
        <w:kinsoku/>
        <w:wordWrap/>
        <w:overflowPunct w:val="0"/>
        <w:topLinePunct w:val="0"/>
        <w:bidi w:val="0"/>
        <w:ind w:firstLine="0" w:firstLineChars="0"/>
        <w:rPr>
          <w:rFonts w:ascii="宋体" w:hAnsi="宋体" w:eastAsia="宋体" w:cs="宋体"/>
          <w:sz w:val="24"/>
          <w:szCs w:val="24"/>
        </w:rPr>
      </w:pPr>
    </w:p>
    <w:p w14:paraId="75BC8F48">
      <w:pPr>
        <w:pStyle w:val="8"/>
        <w:keepNext w:val="0"/>
        <w:keepLines w:val="0"/>
        <w:pageBreakBefore w:val="0"/>
        <w:kinsoku/>
        <w:wordWrap/>
        <w:overflowPunct w:val="0"/>
        <w:topLinePunct w:val="0"/>
        <w:bidi w:val="0"/>
        <w:ind w:firstLine="0" w:firstLineChars="0"/>
        <w:rPr>
          <w:rFonts w:ascii="宋体" w:hAnsi="宋体" w:eastAsia="宋体" w:cs="宋体"/>
          <w:sz w:val="24"/>
          <w:szCs w:val="24"/>
        </w:rPr>
      </w:pPr>
    </w:p>
    <w:p w14:paraId="4F4B130A">
      <w:pPr>
        <w:pStyle w:val="8"/>
        <w:keepNext w:val="0"/>
        <w:keepLines w:val="0"/>
        <w:pageBreakBefore w:val="0"/>
        <w:kinsoku/>
        <w:wordWrap/>
        <w:overflowPunct w:val="0"/>
        <w:topLinePunct w:val="0"/>
        <w:bidi w:val="0"/>
        <w:ind w:firstLine="0" w:firstLineChars="0"/>
        <w:rPr>
          <w:rFonts w:ascii="宋体" w:hAnsi="宋体" w:eastAsia="宋体" w:cs="宋体"/>
          <w:sz w:val="24"/>
          <w:szCs w:val="24"/>
        </w:rPr>
      </w:pPr>
    </w:p>
    <w:p w14:paraId="2E5C82EE">
      <w:pPr>
        <w:pStyle w:val="8"/>
        <w:keepNext w:val="0"/>
        <w:keepLines w:val="0"/>
        <w:pageBreakBefore w:val="0"/>
        <w:kinsoku/>
        <w:wordWrap/>
        <w:overflowPunct w:val="0"/>
        <w:topLinePunct w:val="0"/>
        <w:bidi w:val="0"/>
        <w:ind w:firstLine="0" w:firstLineChars="0"/>
        <w:rPr>
          <w:rFonts w:ascii="宋体" w:hAnsi="宋体" w:eastAsia="宋体" w:cs="宋体"/>
          <w:sz w:val="24"/>
          <w:szCs w:val="24"/>
        </w:rPr>
      </w:pPr>
    </w:p>
    <w:p w14:paraId="718CA8D6">
      <w:pPr>
        <w:pStyle w:val="8"/>
        <w:keepNext w:val="0"/>
        <w:keepLines w:val="0"/>
        <w:pageBreakBefore w:val="0"/>
        <w:kinsoku/>
        <w:wordWrap/>
        <w:overflowPunct w:val="0"/>
        <w:topLinePunct w:val="0"/>
        <w:bidi w:val="0"/>
        <w:ind w:firstLine="0" w:firstLineChars="0"/>
        <w:rPr>
          <w:rFonts w:ascii="宋体" w:hAnsi="宋体" w:eastAsia="宋体" w:cs="宋体"/>
          <w:sz w:val="24"/>
          <w:szCs w:val="24"/>
        </w:rPr>
      </w:pPr>
    </w:p>
    <w:p w14:paraId="65FCD091">
      <w:pPr>
        <w:pStyle w:val="8"/>
        <w:keepNext w:val="0"/>
        <w:keepLines w:val="0"/>
        <w:pageBreakBefore w:val="0"/>
        <w:kinsoku/>
        <w:wordWrap/>
        <w:overflowPunct w:val="0"/>
        <w:topLinePunct w:val="0"/>
        <w:bidi w:val="0"/>
        <w:ind w:firstLine="0" w:firstLineChars="0"/>
        <w:rPr>
          <w:rFonts w:ascii="宋体" w:hAnsi="宋体" w:eastAsia="宋体" w:cs="宋体"/>
          <w:sz w:val="24"/>
          <w:szCs w:val="24"/>
        </w:rPr>
      </w:pPr>
    </w:p>
    <w:p w14:paraId="734A824C">
      <w:pPr>
        <w:pStyle w:val="8"/>
        <w:keepNext w:val="0"/>
        <w:keepLines w:val="0"/>
        <w:pageBreakBefore w:val="0"/>
        <w:kinsoku/>
        <w:wordWrap/>
        <w:overflowPunct w:val="0"/>
        <w:topLinePunct w:val="0"/>
        <w:bidi w:val="0"/>
        <w:ind w:firstLine="0" w:firstLineChars="0"/>
        <w:rPr>
          <w:rFonts w:ascii="宋体" w:hAnsi="宋体" w:eastAsia="宋体" w:cs="宋体"/>
          <w:sz w:val="24"/>
          <w:szCs w:val="24"/>
        </w:rPr>
      </w:pPr>
    </w:p>
    <w:p w14:paraId="29F1C658">
      <w:pPr>
        <w:pStyle w:val="8"/>
        <w:keepNext w:val="0"/>
        <w:keepLines w:val="0"/>
        <w:pageBreakBefore w:val="0"/>
        <w:kinsoku/>
        <w:wordWrap/>
        <w:overflowPunct w:val="0"/>
        <w:topLinePunct w:val="0"/>
        <w:bidi w:val="0"/>
        <w:ind w:firstLine="0" w:firstLineChars="0"/>
        <w:rPr>
          <w:rFonts w:ascii="宋体" w:hAnsi="宋体" w:eastAsia="宋体" w:cs="宋体"/>
          <w:sz w:val="24"/>
          <w:szCs w:val="24"/>
        </w:rPr>
      </w:pPr>
    </w:p>
    <w:p w14:paraId="1B359CC4">
      <w:pPr>
        <w:pStyle w:val="8"/>
        <w:keepNext w:val="0"/>
        <w:keepLines w:val="0"/>
        <w:pageBreakBefore w:val="0"/>
        <w:kinsoku/>
        <w:wordWrap/>
        <w:overflowPunct w:val="0"/>
        <w:topLinePunct w:val="0"/>
        <w:bidi w:val="0"/>
        <w:ind w:firstLine="0" w:firstLineChars="0"/>
        <w:rPr>
          <w:rFonts w:ascii="宋体" w:hAnsi="宋体" w:eastAsia="宋体" w:cs="宋体"/>
          <w:sz w:val="24"/>
          <w:szCs w:val="24"/>
        </w:rPr>
      </w:pPr>
    </w:p>
    <w:p w14:paraId="29A5639D">
      <w:pPr>
        <w:pStyle w:val="8"/>
        <w:keepNext w:val="0"/>
        <w:keepLines w:val="0"/>
        <w:pageBreakBefore w:val="0"/>
        <w:kinsoku/>
        <w:wordWrap/>
        <w:overflowPunct w:val="0"/>
        <w:topLinePunct w:val="0"/>
        <w:bidi w:val="0"/>
        <w:ind w:firstLine="0" w:firstLineChars="0"/>
        <w:rPr>
          <w:rFonts w:ascii="宋体" w:hAnsi="宋体" w:eastAsia="宋体" w:cs="宋体"/>
          <w:sz w:val="24"/>
          <w:szCs w:val="24"/>
        </w:rPr>
      </w:pPr>
    </w:p>
    <w:p w14:paraId="421D8E16">
      <w:pPr>
        <w:keepNext w:val="0"/>
        <w:keepLines w:val="0"/>
        <w:pageBreakBefore w:val="0"/>
        <w:widowControl/>
        <w:kinsoku/>
        <w:wordWrap/>
        <w:overflowPunct w:val="0"/>
        <w:topLinePunct w:val="0"/>
        <w:bidi w:val="0"/>
        <w:adjustRightInd w:val="0"/>
        <w:snapToGrid w:val="0"/>
        <w:spacing w:line="520" w:lineRule="exact"/>
        <w:ind w:firstLine="3614" w:firstLineChars="1500"/>
        <w:jc w:val="both"/>
        <w:rPr>
          <w:rFonts w:ascii="宋体" w:hAnsi="宋体" w:eastAsia="宋体" w:cs="宋体"/>
          <w:sz w:val="24"/>
          <w:szCs w:val="24"/>
        </w:rPr>
      </w:pPr>
      <w:r>
        <w:rPr>
          <w:rFonts w:hint="eastAsia" w:ascii="宋体" w:hAnsi="宋体" w:eastAsia="宋体" w:cs="宋体"/>
          <w:b/>
          <w:bCs/>
          <w:sz w:val="24"/>
          <w:szCs w:val="24"/>
        </w:rPr>
        <w:t>项目需求</w:t>
      </w:r>
    </w:p>
    <w:p w14:paraId="7C72A2CE">
      <w:pPr>
        <w:pStyle w:val="8"/>
        <w:keepNext w:val="0"/>
        <w:keepLines w:val="0"/>
        <w:pageBreakBefore w:val="0"/>
        <w:kinsoku/>
        <w:wordWrap/>
        <w:overflowPunct w:val="0"/>
        <w:topLinePunct w:val="0"/>
        <w:bidi w:val="0"/>
        <w:ind w:firstLine="0" w:firstLineChars="0"/>
        <w:rPr>
          <w:rFonts w:ascii="宋体" w:hAnsi="宋体" w:eastAsia="宋体" w:cs="宋体"/>
          <w:sz w:val="24"/>
          <w:szCs w:val="24"/>
        </w:rPr>
      </w:pPr>
    </w:p>
    <w:p w14:paraId="0E860E22">
      <w:pPr>
        <w:keepNext w:val="0"/>
        <w:keepLines w:val="0"/>
        <w:pageBreakBefore w:val="0"/>
        <w:widowControl/>
        <w:kinsoku/>
        <w:wordWrap/>
        <w:overflowPunct w:val="0"/>
        <w:topLinePunct w:val="0"/>
        <w:bidi w:val="0"/>
        <w:adjustRightInd w:val="0"/>
        <w:snapToGrid w:val="0"/>
        <w:spacing w:line="52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val="en-US" w:eastAsia="zh-CN"/>
        </w:rPr>
        <w:t>潜山市中医院会议室改造工程</w:t>
      </w:r>
    </w:p>
    <w:p w14:paraId="538D2BFF">
      <w:pPr>
        <w:keepNext w:val="0"/>
        <w:keepLines w:val="0"/>
        <w:pageBreakBefore w:val="0"/>
        <w:widowControl/>
        <w:kinsoku/>
        <w:wordWrap/>
        <w:overflowPunct w:val="0"/>
        <w:topLinePunct w:val="0"/>
        <w:bidi w:val="0"/>
        <w:adjustRightInd w:val="0"/>
        <w:snapToGrid w:val="0"/>
        <w:spacing w:line="52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eastAsia="zh-CN"/>
        </w:rPr>
        <w:t>皖TJ-JS24040</w:t>
      </w:r>
    </w:p>
    <w:p w14:paraId="39E6B0EB">
      <w:pPr>
        <w:keepNext w:val="0"/>
        <w:keepLines w:val="0"/>
        <w:pageBreakBefore w:val="0"/>
        <w:widowControl/>
        <w:kinsoku/>
        <w:wordWrap/>
        <w:overflowPunct w:val="0"/>
        <w:topLinePunct w:val="0"/>
        <w:bidi w:val="0"/>
        <w:adjustRightInd w:val="0"/>
        <w:snapToGrid w:val="0"/>
        <w:spacing w:line="520" w:lineRule="exact"/>
        <w:ind w:firstLine="482" w:firstLineChars="200"/>
        <w:rPr>
          <w:rFonts w:hint="default" w:ascii="宋体" w:hAnsi="宋体" w:eastAsia="宋体" w:cs="宋体"/>
          <w:sz w:val="24"/>
          <w:szCs w:val="24"/>
          <w:lang w:val="en-US"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潜山市中医院</w:t>
      </w:r>
    </w:p>
    <w:p w14:paraId="3045E2F6">
      <w:pPr>
        <w:keepNext w:val="0"/>
        <w:keepLines w:val="0"/>
        <w:pageBreakBefore w:val="0"/>
        <w:widowControl/>
        <w:kinsoku/>
        <w:wordWrap/>
        <w:overflowPunct w:val="0"/>
        <w:topLinePunct w:val="0"/>
        <w:bidi w:val="0"/>
        <w:adjustRightInd w:val="0"/>
        <w:snapToGrid w:val="0"/>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最高投标限价</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u w:val="single"/>
          <w:lang w:val="en-US" w:eastAsia="zh-CN"/>
        </w:rPr>
        <w:t xml:space="preserve">54621.76 </w:t>
      </w:r>
      <w:r>
        <w:rPr>
          <w:rFonts w:hint="eastAsia" w:ascii="宋体" w:hAnsi="宋体" w:eastAsia="宋体" w:cs="宋体"/>
          <w:b/>
          <w:bCs/>
          <w:sz w:val="24"/>
          <w:szCs w:val="24"/>
        </w:rPr>
        <w:t>元</w:t>
      </w:r>
      <w:r>
        <w:rPr>
          <w:rFonts w:hint="eastAsia" w:ascii="宋体" w:hAnsi="宋体" w:eastAsia="宋体" w:cs="宋体"/>
          <w:sz w:val="24"/>
          <w:szCs w:val="24"/>
        </w:rPr>
        <w:t>，详见后附最高投标限价。</w:t>
      </w:r>
    </w:p>
    <w:p w14:paraId="55DF1268">
      <w:pPr>
        <w:keepNext w:val="0"/>
        <w:keepLines w:val="0"/>
        <w:pageBreakBefore w:val="0"/>
        <w:widowControl/>
        <w:kinsoku/>
        <w:wordWrap/>
        <w:overflowPunct w:val="0"/>
        <w:topLinePunct w:val="0"/>
        <w:bidi w:val="0"/>
        <w:adjustRightInd w:val="0"/>
        <w:snapToGrid w:val="0"/>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招标范围：</w:t>
      </w:r>
      <w:r>
        <w:rPr>
          <w:rFonts w:hint="eastAsia" w:ascii="宋体" w:hAnsi="宋体" w:eastAsia="宋体" w:cs="宋体"/>
          <w:sz w:val="24"/>
          <w:szCs w:val="24"/>
        </w:rPr>
        <w:t>工程量清单列示的全部内容。</w:t>
      </w:r>
    </w:p>
    <w:p w14:paraId="6EC94D09">
      <w:pPr>
        <w:keepNext w:val="0"/>
        <w:keepLines w:val="0"/>
        <w:pageBreakBefore w:val="0"/>
        <w:widowControl/>
        <w:kinsoku/>
        <w:wordWrap/>
        <w:overflowPunct w:val="0"/>
        <w:topLinePunct w:val="0"/>
        <w:bidi w:val="0"/>
        <w:adjustRightInd w:val="0"/>
        <w:snapToGrid w:val="0"/>
        <w:spacing w:line="520" w:lineRule="exact"/>
        <w:ind w:firstLine="482" w:firstLineChars="200"/>
        <w:rPr>
          <w:rFonts w:hint="eastAsia" w:ascii="宋体" w:hAnsi="宋体" w:eastAsia="宋体" w:cs="宋体"/>
          <w:b/>
          <w:bCs/>
          <w:color w:val="auto"/>
          <w:spacing w:val="-6"/>
          <w:sz w:val="24"/>
          <w:szCs w:val="24"/>
          <w:lang w:val="en-US" w:eastAsia="zh-CN"/>
        </w:rPr>
      </w:pPr>
      <w:r>
        <w:rPr>
          <w:rFonts w:hint="eastAsia" w:ascii="宋体" w:hAnsi="宋体" w:eastAsia="宋体" w:cs="宋体"/>
          <w:b/>
          <w:bCs/>
          <w:sz w:val="24"/>
          <w:szCs w:val="24"/>
        </w:rPr>
        <w:t>付款方式（支付进度）：</w:t>
      </w:r>
      <w:r>
        <w:rPr>
          <w:rFonts w:hint="eastAsia" w:ascii="宋体" w:hAnsi="宋体" w:eastAsia="宋体" w:cs="宋体"/>
          <w:b/>
          <w:bCs/>
          <w:color w:val="auto"/>
          <w:spacing w:val="-6"/>
          <w:sz w:val="24"/>
          <w:szCs w:val="24"/>
          <w:lang w:val="en-US" w:eastAsia="zh-CN"/>
        </w:rPr>
        <w:t>工程竣工验收合格且完成备案后支付经审核已完成工程量的 85%，工程竣工结算审计(核)完成，承包人提交工程竣工结算审计(核)定案金额的 3%作为质量保证金后，一次性付清工程款。工程质量保证金待工程缺陷责任期（两年）满后一次性退还。(工程质量保证金保险有效期与缺陷责任期时间保持一致)。工程质量保证金的形式可为银行保函、担保保函、保证保险等非现金形式。</w:t>
      </w:r>
    </w:p>
    <w:p w14:paraId="235A58BC">
      <w:pPr>
        <w:keepNext w:val="0"/>
        <w:keepLines w:val="0"/>
        <w:pageBreakBefore w:val="0"/>
        <w:widowControl/>
        <w:kinsoku/>
        <w:wordWrap/>
        <w:overflowPunct w:val="0"/>
        <w:topLinePunct w:val="0"/>
        <w:bidi w:val="0"/>
        <w:adjustRightInd w:val="0"/>
        <w:snapToGrid w:val="0"/>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35189FCC">
      <w:pPr>
        <w:keepNext w:val="0"/>
        <w:keepLines w:val="0"/>
        <w:pageBreakBefore w:val="0"/>
        <w:widowControl/>
        <w:kinsoku/>
        <w:wordWrap/>
        <w:overflowPunct w:val="0"/>
        <w:topLinePunct w:val="0"/>
        <w:bidi w:val="0"/>
        <w:adjustRightInd w:val="0"/>
        <w:snapToGrid w:val="0"/>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highlight w:val="none"/>
        </w:rPr>
        <w:t>：</w:t>
      </w:r>
      <w:r>
        <w:rPr>
          <w:rFonts w:hint="eastAsia" w:ascii="宋体" w:hAnsi="宋体" w:eastAsia="宋体" w:cs="宋体"/>
          <w:sz w:val="24"/>
          <w:szCs w:val="24"/>
          <w:highlight w:val="none"/>
          <w:u w:val="none"/>
          <w:lang w:val="en-US" w:eastAsia="zh-CN" w:bidi="ar"/>
        </w:rPr>
        <w:t>15</w:t>
      </w:r>
      <w:r>
        <w:rPr>
          <w:rFonts w:hint="eastAsia" w:ascii="宋体" w:hAnsi="宋体" w:eastAsia="宋体" w:cs="宋体"/>
          <w:sz w:val="24"/>
          <w:szCs w:val="24"/>
          <w:u w:val="none"/>
          <w:lang w:val="en-US" w:eastAsia="zh-CN" w:bidi="ar"/>
        </w:rPr>
        <w:t>日历天</w:t>
      </w:r>
    </w:p>
    <w:p w14:paraId="28B4A700">
      <w:pPr>
        <w:keepNext w:val="0"/>
        <w:keepLines w:val="0"/>
        <w:pageBreakBefore w:val="0"/>
        <w:widowControl/>
        <w:kinsoku/>
        <w:wordWrap/>
        <w:overflowPunct w:val="0"/>
        <w:topLinePunct w:val="0"/>
        <w:bidi w:val="0"/>
        <w:adjustRightInd w:val="0"/>
        <w:snapToGrid w:val="0"/>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sz w:val="24"/>
          <w:szCs w:val="24"/>
        </w:rPr>
        <w:t>24个月</w:t>
      </w:r>
    </w:p>
    <w:p w14:paraId="430AC4CD">
      <w:pPr>
        <w:keepNext w:val="0"/>
        <w:keepLines w:val="0"/>
        <w:pageBreakBefore w:val="0"/>
        <w:widowControl/>
        <w:kinsoku/>
        <w:wordWrap/>
        <w:overflowPunct w:val="0"/>
        <w:topLinePunct w:val="0"/>
        <w:bidi w:val="0"/>
        <w:adjustRightInd w:val="0"/>
        <w:snapToGrid w:val="0"/>
        <w:spacing w:line="520" w:lineRule="exact"/>
        <w:ind w:firstLine="482" w:firstLineChars="200"/>
        <w:rPr>
          <w:rFonts w:hint="default" w:ascii="宋体" w:hAnsi="宋体" w:eastAsia="宋体" w:cs="宋体"/>
          <w:sz w:val="24"/>
          <w:szCs w:val="24"/>
          <w:lang w:val="en-US"/>
        </w:rPr>
      </w:pPr>
      <w:r>
        <w:rPr>
          <w:rFonts w:hint="eastAsia" w:ascii="宋体" w:hAnsi="宋体" w:eastAsia="宋体" w:cs="宋体"/>
          <w:b/>
          <w:bCs/>
          <w:sz w:val="24"/>
          <w:szCs w:val="24"/>
        </w:rPr>
        <w:t>综合下浮</w:t>
      </w:r>
      <w:r>
        <w:rPr>
          <w:rFonts w:hint="eastAsia" w:ascii="宋体" w:hAnsi="宋体" w:eastAsia="宋体" w:cs="宋体"/>
          <w:b/>
          <w:bCs/>
          <w:sz w:val="24"/>
          <w:szCs w:val="24"/>
          <w:highlight w:val="none"/>
        </w:rPr>
        <w:t>率：</w:t>
      </w:r>
      <w:r>
        <w:rPr>
          <w:rFonts w:hint="eastAsia" w:ascii="宋体" w:hAnsi="宋体" w:eastAsia="宋体" w:cs="宋体"/>
          <w:b/>
          <w:bCs/>
          <w:sz w:val="24"/>
          <w:szCs w:val="24"/>
          <w:highlight w:val="none"/>
          <w:lang w:val="en-US" w:eastAsia="zh-CN"/>
        </w:rPr>
        <w:t>12%</w:t>
      </w:r>
    </w:p>
    <w:p w14:paraId="5E486E63">
      <w:pPr>
        <w:keepNext w:val="0"/>
        <w:keepLines w:val="0"/>
        <w:pageBreakBefore w:val="0"/>
        <w:widowControl/>
        <w:kinsoku/>
        <w:wordWrap/>
        <w:overflowPunct w:val="0"/>
        <w:topLinePunct w:val="0"/>
        <w:bidi w:val="0"/>
        <w:adjustRightInd w:val="0"/>
        <w:snapToGrid w:val="0"/>
        <w:spacing w:line="52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highlight w:val="yellow"/>
          <w:u w:val="single"/>
          <w:lang w:val="en-US" w:eastAsia="zh-CN"/>
        </w:rPr>
        <w:t>48067.15</w:t>
      </w:r>
      <w:r>
        <w:rPr>
          <w:rFonts w:hint="eastAsia" w:ascii="宋体" w:hAnsi="宋体" w:eastAsia="宋体" w:cs="宋体"/>
          <w:sz w:val="24"/>
          <w:szCs w:val="24"/>
        </w:rPr>
        <w:t>元。</w:t>
      </w:r>
    </w:p>
    <w:p w14:paraId="59FED5C1">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1273150C">
      <w:pPr>
        <w:keepNext w:val="0"/>
        <w:keepLines w:val="0"/>
        <w:pageBreakBefore w:val="0"/>
        <w:widowControl/>
        <w:kinsoku/>
        <w:wordWrap/>
        <w:overflowPunct w:val="0"/>
        <w:topLinePunct w:val="0"/>
        <w:bidi w:val="0"/>
        <w:adjustRightInd w:val="0"/>
        <w:snapToGrid w:val="0"/>
        <w:spacing w:line="52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1.项目经理：同时具备下列① 、② 、③要求：</w:t>
      </w:r>
    </w:p>
    <w:p w14:paraId="0441EC69">
      <w:pPr>
        <w:keepNext w:val="0"/>
        <w:keepLines w:val="0"/>
        <w:pageBreakBefore w:val="0"/>
        <w:widowControl/>
        <w:kinsoku/>
        <w:wordWrap/>
        <w:overflowPunct w:val="0"/>
        <w:topLinePunct w:val="0"/>
        <w:bidi w:val="0"/>
        <w:adjustRightInd w:val="0"/>
        <w:snapToGrid w:val="0"/>
        <w:spacing w:line="52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①具有</w:t>
      </w:r>
      <w:r>
        <w:rPr>
          <w:rFonts w:hint="eastAsia" w:ascii="宋体" w:hAnsi="宋体" w:eastAsia="宋体" w:cs="宋体"/>
          <w:sz w:val="24"/>
          <w:szCs w:val="24"/>
          <w:highlight w:val="none"/>
          <w:lang w:val="en-US" w:eastAsia="zh-CN" w:bidi="ar"/>
        </w:rPr>
        <w:t>建筑工程</w:t>
      </w:r>
      <w:r>
        <w:rPr>
          <w:rFonts w:hint="eastAsia" w:ascii="宋体" w:hAnsi="宋体" w:eastAsia="宋体" w:cs="宋体"/>
          <w:sz w:val="24"/>
          <w:szCs w:val="24"/>
          <w:highlight w:val="none"/>
          <w:lang w:bidi="ar"/>
        </w:rPr>
        <w:t>专业二级（或以上）注册建造师执业资格；</w:t>
      </w:r>
    </w:p>
    <w:p w14:paraId="7103DF67">
      <w:pPr>
        <w:keepNext w:val="0"/>
        <w:keepLines w:val="0"/>
        <w:pageBreakBefore w:val="0"/>
        <w:widowControl/>
        <w:kinsoku/>
        <w:wordWrap/>
        <w:overflowPunct w:val="0"/>
        <w:topLinePunct w:val="0"/>
        <w:bidi w:val="0"/>
        <w:adjustRightInd w:val="0"/>
        <w:snapToGrid w:val="0"/>
        <w:spacing w:line="520" w:lineRule="exact"/>
        <w:ind w:firstLine="480" w:firstLineChars="200"/>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bidi="ar"/>
        </w:rPr>
        <w:t>②取得建设行政主管部门颁发的安全生产考核合格证 B 证；</w:t>
      </w:r>
    </w:p>
    <w:p w14:paraId="09156D36">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lang w:bidi="ar"/>
        </w:rPr>
      </w:pPr>
      <w:r>
        <w:rPr>
          <w:rFonts w:hint="eastAsia" w:ascii="宋体" w:hAnsi="宋体" w:eastAsia="宋体" w:cs="宋体"/>
          <w:sz w:val="24"/>
          <w:szCs w:val="24"/>
          <w:highlight w:val="none"/>
          <w:lang w:bidi="ar"/>
        </w:rPr>
        <w:t>③投标截止日未在其他项目担任项目经理，或虽在其他项目上担任项目经理岗位，</w:t>
      </w:r>
      <w:r>
        <w:rPr>
          <w:rFonts w:hint="eastAsia" w:ascii="宋体" w:hAnsi="宋体" w:eastAsia="宋体" w:cs="宋体"/>
          <w:sz w:val="24"/>
          <w:szCs w:val="24"/>
          <w:lang w:bidi="ar"/>
        </w:rPr>
        <w:t>但承诺在本项目中标后合同签订</w:t>
      </w:r>
      <w:r>
        <w:rPr>
          <w:rFonts w:hint="eastAsia" w:ascii="宋体" w:hAnsi="宋体" w:eastAsia="宋体" w:cs="宋体"/>
          <w:b/>
          <w:bCs/>
          <w:sz w:val="24"/>
          <w:szCs w:val="24"/>
          <w:lang w:bidi="ar"/>
        </w:rPr>
        <w:t>（合同签订在法定时间为数据电文中标通知书发放之日起30日内）</w:t>
      </w:r>
      <w:r>
        <w:rPr>
          <w:rFonts w:hint="eastAsia" w:ascii="宋体" w:hAnsi="宋体" w:eastAsia="宋体" w:cs="宋体"/>
          <w:sz w:val="24"/>
          <w:szCs w:val="24"/>
          <w:lang w:bidi="ar"/>
        </w:rPr>
        <w:t>前能够从其他项目变更至本项目并全面履约。</w:t>
      </w:r>
    </w:p>
    <w:p w14:paraId="7EB3046C">
      <w:pPr>
        <w:keepNext w:val="0"/>
        <w:keepLines w:val="0"/>
        <w:pageBreakBefore w:val="0"/>
        <w:widowControl/>
        <w:numPr>
          <w:ilvl w:val="0"/>
          <w:numId w:val="0"/>
        </w:numPr>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成交供应商在开工前组建的施工项目管理机构，要符合行政主管部门及安徽省相关标准规定。</w:t>
      </w:r>
    </w:p>
    <w:p w14:paraId="5E336BF6">
      <w:pPr>
        <w:keepNext w:val="0"/>
        <w:keepLines w:val="0"/>
        <w:pageBreakBefore w:val="0"/>
        <w:widowControl/>
        <w:numPr>
          <w:ilvl w:val="0"/>
          <w:numId w:val="0"/>
        </w:numPr>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29F1F95B">
      <w:pPr>
        <w:keepNext w:val="0"/>
        <w:keepLines w:val="0"/>
        <w:pageBreakBefore w:val="0"/>
        <w:widowControl/>
        <w:numPr>
          <w:ilvl w:val="0"/>
          <w:numId w:val="0"/>
        </w:numPr>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成交供应商不得擅自更换签订交易时所报项目经理、以及签订合同时确定的项目部关键岗位其他人员。</w:t>
      </w:r>
    </w:p>
    <w:p w14:paraId="22D686C1">
      <w:pPr>
        <w:keepNext w:val="0"/>
        <w:keepLines w:val="0"/>
        <w:pageBreakBefore w:val="0"/>
        <w:widowControl/>
        <w:numPr>
          <w:ilvl w:val="0"/>
          <w:numId w:val="0"/>
        </w:numPr>
        <w:kinsoku/>
        <w:wordWrap/>
        <w:overflowPunct w:val="0"/>
        <w:topLinePunct w:val="0"/>
        <w:bidi w:val="0"/>
        <w:adjustRightInd w:val="0"/>
        <w:snapToGrid w:val="0"/>
        <w:spacing w:line="520" w:lineRule="exact"/>
        <w:ind w:firstLine="480" w:firstLineChars="200"/>
        <w:rPr>
          <w:rFonts w:ascii="宋体" w:hAnsi="宋体" w:eastAsia="宋体" w:cs="宋体"/>
          <w:b w:val="0"/>
          <w:bCs w:val="0"/>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成交供应商未能按照承诺到岗尽职的，发包人将视情况严重程度对其作出相应处理。</w:t>
      </w:r>
    </w:p>
    <w:p w14:paraId="2323B063">
      <w:pPr>
        <w:keepNext w:val="0"/>
        <w:keepLines w:val="0"/>
        <w:pageBreakBefore w:val="0"/>
        <w:widowControl/>
        <w:tabs>
          <w:tab w:val="left" w:pos="284"/>
        </w:tabs>
        <w:kinsoku/>
        <w:wordWrap/>
        <w:overflowPunct w:val="0"/>
        <w:topLinePunct w:val="0"/>
        <w:bidi w:val="0"/>
        <w:adjustRightInd w:val="0"/>
        <w:snapToGrid w:val="0"/>
        <w:spacing w:line="520" w:lineRule="exact"/>
        <w:ind w:firstLine="480" w:firstLineChars="200"/>
        <w:rPr>
          <w:rFonts w:ascii="宋体" w:hAnsi="宋体" w:cs="宋体"/>
          <w:b w:val="0"/>
          <w:bCs w:val="0"/>
          <w:color w:val="000000" w:themeColor="text1"/>
          <w:sz w:val="24"/>
          <w14:textFill>
            <w14:solidFill>
              <w14:schemeClr w14:val="tx1"/>
            </w14:solidFill>
          </w14:textFill>
        </w:rPr>
      </w:pPr>
      <w:r>
        <w:rPr>
          <w:rFonts w:hint="eastAsia" w:ascii="宋体" w:hAnsi="宋体" w:cs="宋体"/>
          <w:b w:val="0"/>
          <w:bCs w:val="0"/>
          <w:color w:val="000000" w:themeColor="text1"/>
          <w:sz w:val="24"/>
          <w14:textFill>
            <w14:solidFill>
              <w14:schemeClr w14:val="tx1"/>
            </w14:solidFill>
          </w14:textFill>
        </w:rPr>
        <w:t>二、履约担保、农民工工资保障金要求</w:t>
      </w:r>
    </w:p>
    <w:p w14:paraId="1DF47E80">
      <w:pPr>
        <w:keepNext w:val="0"/>
        <w:keepLines w:val="0"/>
        <w:pageBreakBefore w:val="0"/>
        <w:widowControl/>
        <w:tabs>
          <w:tab w:val="left" w:pos="284"/>
        </w:tabs>
        <w:kinsoku/>
        <w:wordWrap/>
        <w:overflowPunct w:val="0"/>
        <w:topLinePunct w:val="0"/>
        <w:bidi w:val="0"/>
        <w:adjustRightInd w:val="0"/>
        <w:snapToGrid w:val="0"/>
        <w:spacing w:line="52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10122A26">
      <w:pPr>
        <w:keepNext w:val="0"/>
        <w:keepLines w:val="0"/>
        <w:pageBreakBefore w:val="0"/>
        <w:widowControl/>
        <w:tabs>
          <w:tab w:val="left" w:pos="284"/>
        </w:tabs>
        <w:kinsoku/>
        <w:wordWrap/>
        <w:overflowPunct w:val="0"/>
        <w:topLinePunct w:val="0"/>
        <w:bidi w:val="0"/>
        <w:adjustRightInd w:val="0"/>
        <w:snapToGrid w:val="0"/>
        <w:spacing w:line="52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7DFFC00E">
      <w:pPr>
        <w:keepNext w:val="0"/>
        <w:keepLines w:val="0"/>
        <w:pageBreakBefore w:val="0"/>
        <w:widowControl/>
        <w:numPr>
          <w:ilvl w:val="0"/>
          <w:numId w:val="0"/>
        </w:numPr>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eastAsia="zh-CN"/>
        </w:rPr>
        <w:t>三、</w:t>
      </w:r>
      <w:r>
        <w:rPr>
          <w:rFonts w:hint="eastAsia" w:ascii="宋体" w:hAnsi="宋体" w:eastAsia="宋体" w:cs="宋体"/>
          <w:sz w:val="24"/>
          <w:szCs w:val="24"/>
        </w:rPr>
        <w:t>安全文明要求</w:t>
      </w:r>
    </w:p>
    <w:p w14:paraId="0146726A">
      <w:pPr>
        <w:keepNext w:val="0"/>
        <w:keepLines w:val="0"/>
        <w:pageBreakBefore w:val="0"/>
        <w:widowControl/>
        <w:kinsoku/>
        <w:wordWrap/>
        <w:overflowPunct w:val="0"/>
        <w:topLinePunct w:val="0"/>
        <w:bidi w:val="0"/>
        <w:adjustRightInd w:val="0"/>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15F75449">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 四、质量要求</w:t>
      </w:r>
    </w:p>
    <w:p w14:paraId="039DDBB5">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784DD464">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19E5D47C">
      <w:pPr>
        <w:keepNext w:val="0"/>
        <w:keepLines w:val="0"/>
        <w:pageBreakBefore w:val="0"/>
        <w:widowControl/>
        <w:kinsoku/>
        <w:wordWrap/>
        <w:overflowPunct w:val="0"/>
        <w:topLinePunct w:val="0"/>
        <w:bidi w:val="0"/>
        <w:adjustRightInd w:val="0"/>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3BDD2F5C">
      <w:pPr>
        <w:keepNext w:val="0"/>
        <w:keepLines w:val="0"/>
        <w:pageBreakBefore w:val="0"/>
        <w:widowControl/>
        <w:kinsoku/>
        <w:wordWrap/>
        <w:overflowPunct w:val="0"/>
        <w:topLinePunct w:val="0"/>
        <w:bidi w:val="0"/>
        <w:adjustRightInd w:val="0"/>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 xml:space="preserve"> 五、工期要求</w:t>
      </w:r>
    </w:p>
    <w:p w14:paraId="4C24A03C">
      <w:pPr>
        <w:keepNext w:val="0"/>
        <w:keepLines w:val="0"/>
        <w:pageBreakBefore w:val="0"/>
        <w:widowControl/>
        <w:kinsoku/>
        <w:wordWrap/>
        <w:overflowPunct w:val="0"/>
        <w:topLinePunct w:val="0"/>
        <w:bidi w:val="0"/>
        <w:adjustRightInd w:val="0"/>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64453737">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2B0EF744">
      <w:pPr>
        <w:keepNext w:val="0"/>
        <w:keepLines w:val="0"/>
        <w:pageBreakBefore w:val="0"/>
        <w:widowControl/>
        <w:kinsoku/>
        <w:wordWrap/>
        <w:overflowPunct w:val="0"/>
        <w:topLinePunct w:val="0"/>
        <w:bidi w:val="0"/>
        <w:adjustRightInd w:val="0"/>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674F2217">
      <w:pPr>
        <w:keepNext w:val="0"/>
        <w:keepLines w:val="0"/>
        <w:pageBreakBefore w:val="0"/>
        <w:widowControl/>
        <w:kinsoku/>
        <w:wordWrap/>
        <w:overflowPunct w:val="0"/>
        <w:topLinePunct w:val="0"/>
        <w:bidi w:val="0"/>
        <w:adjustRightInd w:val="0"/>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54131E9C">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453F5D89">
      <w:pPr>
        <w:keepNext w:val="0"/>
        <w:keepLines w:val="0"/>
        <w:pageBreakBefore w:val="0"/>
        <w:widowControl/>
        <w:kinsoku/>
        <w:wordWrap/>
        <w:overflowPunct w:val="0"/>
        <w:topLinePunct w:val="0"/>
        <w:bidi w:val="0"/>
        <w:adjustRightInd w:val="0"/>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409B166D">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6392AF7E">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八、材料要求</w:t>
      </w:r>
    </w:p>
    <w:p w14:paraId="3F3E23DE">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0BCE0646">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67451FB4">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55714204">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2FAD292E">
      <w:pPr>
        <w:keepNext w:val="0"/>
        <w:keepLines w:val="0"/>
        <w:pageBreakBefore w:val="0"/>
        <w:widowControl/>
        <w:kinsoku/>
        <w:wordWrap/>
        <w:overflowPunct w:val="0"/>
        <w:topLinePunct w:val="0"/>
        <w:bidi w:val="0"/>
        <w:adjustRightInd w:val="0"/>
        <w:snapToGrid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4E64161C">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Times New Roman"/>
          <w:snapToGrid/>
          <w:color w:val="auto"/>
          <w:kern w:val="2"/>
          <w:sz w:val="24"/>
          <w:szCs w:val="24"/>
          <w:highlight w:val="none"/>
        </w:rPr>
      </w:pPr>
      <w:r>
        <w:rPr>
          <w:rFonts w:hint="eastAsia" w:ascii="宋体" w:hAnsi="宋体" w:eastAsia="宋体" w:cs="宋体"/>
          <w:sz w:val="24"/>
          <w:szCs w:val="24"/>
          <w:highlight w:val="none"/>
        </w:rPr>
        <w:t xml:space="preserve"> 九、工程量清单、最高投标限价编制依据  </w:t>
      </w:r>
    </w:p>
    <w:p w14:paraId="58913611">
      <w:pPr>
        <w:spacing w:line="520" w:lineRule="exact"/>
        <w:ind w:firstLine="480" w:firstLineChars="200"/>
        <w:rPr>
          <w:rFonts w:hint="eastAsia" w:ascii="宋体" w:hAnsi="宋体"/>
          <w:sz w:val="24"/>
        </w:rPr>
      </w:pPr>
      <w:r>
        <w:rPr>
          <w:rFonts w:hint="eastAsia" w:ascii="宋体" w:hAnsi="宋体"/>
          <w:sz w:val="24"/>
        </w:rPr>
        <w:t>1、建设单位提供的</w:t>
      </w:r>
      <w:r>
        <w:rPr>
          <w:rFonts w:hint="eastAsia" w:ascii="宋体" w:hAnsi="宋体"/>
          <w:sz w:val="24"/>
          <w:lang w:eastAsia="zh-CN"/>
        </w:rPr>
        <w:t>改造</w:t>
      </w:r>
      <w:r>
        <w:rPr>
          <w:rFonts w:hint="eastAsia" w:ascii="宋体" w:hAnsi="宋体"/>
          <w:sz w:val="24"/>
        </w:rPr>
        <w:t>方案</w:t>
      </w:r>
      <w:r>
        <w:rPr>
          <w:rFonts w:hint="eastAsia" w:ascii="宋体" w:hAnsi="宋体"/>
          <w:sz w:val="24"/>
          <w:lang w:val="en-US" w:eastAsia="zh-CN"/>
        </w:rPr>
        <w:t>及原施工图纸</w:t>
      </w:r>
      <w:r>
        <w:rPr>
          <w:rFonts w:hint="eastAsia" w:ascii="宋体" w:hAnsi="宋体"/>
          <w:sz w:val="24"/>
        </w:rPr>
        <w:t>；</w:t>
      </w:r>
    </w:p>
    <w:p w14:paraId="43A4BD3F">
      <w:pPr>
        <w:spacing w:line="52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2018版《安徽省建设工程工程量清单计价办法》；</w:t>
      </w:r>
    </w:p>
    <w:p w14:paraId="5B671108">
      <w:pPr>
        <w:spacing w:line="520" w:lineRule="exact"/>
        <w:ind w:firstLine="480" w:firstLineChars="200"/>
        <w:rPr>
          <w:rFonts w:hint="eastAsia" w:ascii="宋体" w:hAnsi="宋体"/>
          <w:sz w:val="24"/>
        </w:rPr>
      </w:pPr>
      <w:r>
        <w:rPr>
          <w:rFonts w:hint="eastAsia" w:ascii="宋体" w:hAnsi="宋体"/>
          <w:sz w:val="24"/>
        </w:rPr>
        <w:t>4、201</w:t>
      </w:r>
      <w:r>
        <w:rPr>
          <w:rFonts w:ascii="宋体" w:hAnsi="宋体"/>
          <w:sz w:val="24"/>
        </w:rPr>
        <w:t>8版《安徽省建设工程费用定额》</w:t>
      </w:r>
      <w:r>
        <w:rPr>
          <w:rFonts w:hint="eastAsia" w:ascii="宋体" w:hAnsi="宋体"/>
          <w:sz w:val="24"/>
        </w:rPr>
        <w:t>；</w:t>
      </w:r>
    </w:p>
    <w:p w14:paraId="746D66AA">
      <w:pPr>
        <w:spacing w:line="520" w:lineRule="exact"/>
        <w:ind w:firstLine="480" w:firstLineChars="200"/>
        <w:rPr>
          <w:rFonts w:hint="eastAsia" w:ascii="宋体" w:hAnsi="宋体"/>
          <w:sz w:val="24"/>
        </w:rPr>
      </w:pPr>
      <w:r>
        <w:rPr>
          <w:rFonts w:hint="eastAsia" w:ascii="宋体" w:hAnsi="宋体"/>
          <w:sz w:val="24"/>
        </w:rPr>
        <w:t>5、</w:t>
      </w:r>
      <w:r>
        <w:rPr>
          <w:rFonts w:ascii="宋体" w:hAnsi="宋体"/>
          <w:sz w:val="24"/>
        </w:rPr>
        <w:t>2018版《安徽省建设工程施工机械台班费用编制规则》</w:t>
      </w:r>
      <w:r>
        <w:rPr>
          <w:rFonts w:hint="eastAsia" w:ascii="宋体" w:hAnsi="宋体"/>
          <w:sz w:val="24"/>
        </w:rPr>
        <w:t>；</w:t>
      </w:r>
    </w:p>
    <w:p w14:paraId="115DAF71">
      <w:pPr>
        <w:spacing w:line="520" w:lineRule="exact"/>
        <w:ind w:firstLine="480" w:firstLineChars="200"/>
        <w:rPr>
          <w:rFonts w:hint="eastAsia" w:ascii="宋体" w:hAnsi="宋体"/>
          <w:sz w:val="24"/>
        </w:rPr>
      </w:pPr>
      <w:r>
        <w:rPr>
          <w:rFonts w:hint="eastAsia" w:ascii="宋体" w:hAnsi="宋体"/>
          <w:sz w:val="24"/>
        </w:rPr>
        <w:t>6、</w:t>
      </w:r>
      <w:r>
        <w:rPr>
          <w:rFonts w:ascii="宋体" w:hAnsi="宋体"/>
          <w:sz w:val="24"/>
        </w:rPr>
        <w:t>2018版《安徽省建设工程计价定额(共用册）》</w:t>
      </w:r>
      <w:r>
        <w:rPr>
          <w:rFonts w:hint="eastAsia" w:ascii="宋体" w:hAnsi="宋体"/>
          <w:sz w:val="24"/>
        </w:rPr>
        <w:t>；</w:t>
      </w:r>
    </w:p>
    <w:p w14:paraId="7CC1C639">
      <w:pPr>
        <w:spacing w:line="520" w:lineRule="exact"/>
        <w:ind w:firstLine="480" w:firstLineChars="200"/>
        <w:rPr>
          <w:rFonts w:hint="eastAsia" w:ascii="宋体" w:hAnsi="宋体"/>
          <w:sz w:val="24"/>
        </w:rPr>
      </w:pPr>
      <w:r>
        <w:rPr>
          <w:rFonts w:hint="eastAsia" w:ascii="宋体" w:hAnsi="宋体"/>
          <w:sz w:val="24"/>
        </w:rPr>
        <w:t>7、</w:t>
      </w:r>
      <w:r>
        <w:rPr>
          <w:rFonts w:ascii="宋体" w:hAnsi="宋体"/>
          <w:sz w:val="24"/>
        </w:rPr>
        <w:t>2018版《安徽省</w:t>
      </w:r>
      <w:r>
        <w:rPr>
          <w:rFonts w:hint="eastAsia" w:ascii="宋体" w:hAnsi="宋体"/>
          <w:sz w:val="24"/>
        </w:rPr>
        <w:t>建筑</w:t>
      </w:r>
      <w:r>
        <w:rPr>
          <w:rFonts w:ascii="宋体" w:hAnsi="宋体"/>
          <w:sz w:val="24"/>
        </w:rPr>
        <w:t>工程计价定额》</w:t>
      </w:r>
      <w:r>
        <w:rPr>
          <w:rFonts w:hint="eastAsia" w:ascii="宋体" w:hAnsi="宋体"/>
          <w:sz w:val="24"/>
        </w:rPr>
        <w:t>；</w:t>
      </w:r>
    </w:p>
    <w:p w14:paraId="29FCB5FB">
      <w:pPr>
        <w:spacing w:line="520" w:lineRule="exact"/>
        <w:ind w:firstLine="480" w:firstLineChars="200"/>
        <w:rPr>
          <w:rFonts w:hint="eastAsia" w:ascii="宋体" w:hAnsi="宋体"/>
          <w:sz w:val="24"/>
        </w:rPr>
      </w:pPr>
      <w:r>
        <w:rPr>
          <w:rFonts w:hint="eastAsia" w:ascii="宋体" w:hAnsi="宋体"/>
          <w:sz w:val="24"/>
        </w:rPr>
        <w:t>8、</w:t>
      </w:r>
      <w:r>
        <w:rPr>
          <w:rFonts w:ascii="宋体" w:hAnsi="宋体"/>
          <w:sz w:val="24"/>
        </w:rPr>
        <w:t>2018版《安徽省</w:t>
      </w:r>
      <w:r>
        <w:rPr>
          <w:rFonts w:hint="eastAsia" w:ascii="宋体" w:hAnsi="宋体"/>
          <w:sz w:val="24"/>
        </w:rPr>
        <w:t>装饰装修</w:t>
      </w:r>
      <w:r>
        <w:rPr>
          <w:rFonts w:ascii="宋体" w:hAnsi="宋体"/>
          <w:sz w:val="24"/>
        </w:rPr>
        <w:t>工程计价定额》</w:t>
      </w:r>
      <w:r>
        <w:rPr>
          <w:rFonts w:hint="eastAsia" w:ascii="宋体" w:hAnsi="宋体"/>
          <w:sz w:val="24"/>
        </w:rPr>
        <w:t>；</w:t>
      </w:r>
    </w:p>
    <w:p w14:paraId="0D3B45F0">
      <w:pPr>
        <w:spacing w:line="520" w:lineRule="exact"/>
        <w:ind w:firstLine="480" w:firstLineChars="200"/>
        <w:rPr>
          <w:rFonts w:hint="eastAsia" w:ascii="宋体" w:hAnsi="宋体"/>
          <w:sz w:val="24"/>
        </w:rPr>
      </w:pPr>
      <w:r>
        <w:rPr>
          <w:rFonts w:hint="eastAsia" w:ascii="宋体" w:hAnsi="宋体"/>
          <w:sz w:val="24"/>
        </w:rPr>
        <w:t>9、</w:t>
      </w:r>
      <w:r>
        <w:rPr>
          <w:rFonts w:ascii="宋体" w:hAnsi="宋体"/>
          <w:sz w:val="24"/>
        </w:rPr>
        <w:t>2018版《安徽省</w:t>
      </w:r>
      <w:r>
        <w:rPr>
          <w:rFonts w:hint="eastAsia" w:ascii="宋体" w:hAnsi="宋体"/>
          <w:sz w:val="24"/>
        </w:rPr>
        <w:t>安装</w:t>
      </w:r>
      <w:r>
        <w:rPr>
          <w:rFonts w:ascii="宋体" w:hAnsi="宋体"/>
          <w:sz w:val="24"/>
        </w:rPr>
        <w:t>工程计价定额》</w:t>
      </w:r>
      <w:r>
        <w:rPr>
          <w:rFonts w:hint="eastAsia" w:ascii="宋体" w:hAnsi="宋体"/>
          <w:sz w:val="24"/>
        </w:rPr>
        <w:t>；</w:t>
      </w:r>
    </w:p>
    <w:p w14:paraId="1196F93C">
      <w:pPr>
        <w:spacing w:line="52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w:t>
      </w:r>
      <w:r>
        <w:rPr>
          <w:rFonts w:ascii="宋体" w:hAnsi="宋体"/>
          <w:sz w:val="24"/>
        </w:rPr>
        <w:t>2018版《安徽省建设工程工程量清单计价定额》勘误</w:t>
      </w:r>
      <w:r>
        <w:rPr>
          <w:rFonts w:hint="eastAsia" w:ascii="宋体" w:hAnsi="宋体"/>
          <w:sz w:val="24"/>
        </w:rPr>
        <w:t>；</w:t>
      </w:r>
    </w:p>
    <w:p w14:paraId="07A11E81">
      <w:pPr>
        <w:spacing w:line="52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2018版《安徽省建设工程工程量清单计价办法》勘误</w:t>
      </w:r>
      <w:r>
        <w:rPr>
          <w:rFonts w:hint="eastAsia" w:ascii="宋体" w:hAnsi="宋体"/>
          <w:sz w:val="24"/>
        </w:rPr>
        <w:t>；</w:t>
      </w:r>
    </w:p>
    <w:p w14:paraId="5C5FB830">
      <w:pPr>
        <w:spacing w:line="520" w:lineRule="exact"/>
        <w:ind w:firstLine="480" w:firstLineChars="200"/>
        <w:rPr>
          <w:rFonts w:hint="eastAsia" w:ascii="宋体" w:hAnsi="宋体"/>
          <w:sz w:val="24"/>
        </w:rPr>
      </w:pPr>
      <w:r>
        <w:rPr>
          <w:rFonts w:hint="eastAsia" w:ascii="宋体" w:hAnsi="宋体"/>
          <w:sz w:val="24"/>
          <w:lang w:val="en-US" w:eastAsia="zh-CN"/>
        </w:rPr>
        <w:t>12、</w:t>
      </w:r>
      <w:r>
        <w:rPr>
          <w:rFonts w:hint="eastAsia" w:ascii="宋体" w:hAnsi="宋体"/>
          <w:sz w:val="24"/>
        </w:rPr>
        <w:t>、安徽省建设工程造价管理总站颁布的“造价﹝2019﹞7号”文件，关于调整我省现行建设工程计价依据增值税税率的通知；</w:t>
      </w:r>
    </w:p>
    <w:p w14:paraId="25A43901">
      <w:pPr>
        <w:spacing w:line="46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、安徽省住房和城乡建设厅颁布的“建标﹝2021﹞42号”文件，关于调整安徽省建设工程不可竞争费构成及计费标准的通知；</w:t>
      </w:r>
    </w:p>
    <w:p w14:paraId="242711BC">
      <w:pPr>
        <w:spacing w:line="460" w:lineRule="exact"/>
        <w:ind w:firstLine="480" w:firstLineChars="200"/>
        <w:rPr>
          <w:rFonts w:hint="eastAsia" w:ascii="宋体" w:hAnsi="宋体"/>
          <w:sz w:val="24"/>
        </w:rPr>
      </w:pPr>
      <w:r>
        <w:rPr>
          <w:rFonts w:hint="eastAsia" w:ascii="宋体" w:hAnsi="宋体"/>
          <w:sz w:val="24"/>
          <w:lang w:val="en-US" w:eastAsia="zh-CN"/>
        </w:rPr>
        <w:t>14</w:t>
      </w:r>
      <w:r>
        <w:rPr>
          <w:rFonts w:hint="eastAsia" w:ascii="宋体" w:hAnsi="宋体"/>
          <w:sz w:val="24"/>
        </w:rPr>
        <w:t>、人工费执行</w:t>
      </w:r>
      <w:r>
        <w:rPr>
          <w:rFonts w:hint="eastAsia" w:ascii="宋体" w:hAnsi="宋体"/>
          <w:sz w:val="24"/>
          <w:lang w:val="en-US" w:eastAsia="zh-CN"/>
        </w:rPr>
        <w:t>安庆市建筑管理处</w:t>
      </w:r>
      <w:r>
        <w:rPr>
          <w:rFonts w:hint="eastAsia" w:ascii="宋体" w:hAnsi="宋体"/>
          <w:sz w:val="24"/>
        </w:rPr>
        <w:t>颁布</w:t>
      </w:r>
      <w:r>
        <w:rPr>
          <w:rFonts w:hint="eastAsia" w:ascii="宋体" w:hAnsi="宋体"/>
          <w:sz w:val="24"/>
          <w:lang w:val="en-US" w:eastAsia="zh-CN"/>
        </w:rPr>
        <w:t>的</w:t>
      </w:r>
      <w:r>
        <w:rPr>
          <w:rFonts w:hint="eastAsia" w:ascii="宋体" w:hAnsi="宋体"/>
          <w:sz w:val="24"/>
        </w:rPr>
        <w:t>“建管字(2023)103号”文件</w:t>
      </w:r>
      <w:r>
        <w:rPr>
          <w:rFonts w:hint="eastAsia" w:ascii="宋体" w:hAnsi="宋体"/>
          <w:sz w:val="24"/>
          <w:lang w:eastAsia="zh-CN"/>
        </w:rPr>
        <w:t>，</w:t>
      </w:r>
      <w:r>
        <w:rPr>
          <w:rFonts w:hint="eastAsia" w:ascii="宋体" w:hAnsi="宋体"/>
          <w:sz w:val="24"/>
          <w:lang w:val="en-US" w:eastAsia="zh-CN"/>
        </w:rPr>
        <w:t>及安庆市人工信息价的通知</w:t>
      </w:r>
      <w:r>
        <w:rPr>
          <w:rFonts w:hint="eastAsia" w:ascii="宋体" w:hAnsi="宋体"/>
          <w:sz w:val="24"/>
        </w:rPr>
        <w:t>；</w:t>
      </w:r>
    </w:p>
    <w:p w14:paraId="55CA9D38">
      <w:pPr>
        <w:spacing w:line="52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、工程量清单计价编制的其它有关资料；</w:t>
      </w:r>
    </w:p>
    <w:p w14:paraId="13BF48AF">
      <w:pPr>
        <w:spacing w:line="520" w:lineRule="exact"/>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6</w:t>
      </w:r>
      <w:r>
        <w:rPr>
          <w:rFonts w:hint="eastAsia" w:ascii="宋体" w:hAnsi="宋体"/>
          <w:sz w:val="24"/>
        </w:rPr>
        <w:t>、材料价格：执行安庆市建设工程造价管理站发布的202</w:t>
      </w:r>
      <w:r>
        <w:rPr>
          <w:rFonts w:hint="eastAsia" w:ascii="宋体" w:hAnsi="宋体"/>
          <w:sz w:val="24"/>
          <w:lang w:val="en-US" w:eastAsia="zh-CN"/>
        </w:rPr>
        <w:t>4</w:t>
      </w:r>
      <w:r>
        <w:rPr>
          <w:rFonts w:hint="eastAsia" w:ascii="宋体" w:hAnsi="宋体"/>
          <w:sz w:val="24"/>
        </w:rPr>
        <w:t>年第</w:t>
      </w:r>
      <w:r>
        <w:rPr>
          <w:rFonts w:hint="eastAsia" w:ascii="宋体" w:hAnsi="宋体"/>
          <w:sz w:val="24"/>
          <w:lang w:val="en-US" w:eastAsia="zh-CN"/>
        </w:rPr>
        <w:t>8</w:t>
      </w:r>
      <w:r>
        <w:rPr>
          <w:rFonts w:hint="eastAsia" w:ascii="宋体" w:hAnsi="宋体"/>
          <w:sz w:val="24"/>
        </w:rPr>
        <w:t>期《安庆工程造价信息简讯》市区价格（不含税）及增补</w:t>
      </w:r>
      <w:r>
        <w:rPr>
          <w:rFonts w:hint="eastAsia" w:ascii="宋体" w:hAnsi="宋体"/>
          <w:sz w:val="24"/>
          <w:lang w:eastAsia="zh-CN"/>
        </w:rPr>
        <w:t>，</w:t>
      </w:r>
      <w:r>
        <w:rPr>
          <w:rFonts w:hint="eastAsia" w:ascii="宋体" w:hAnsi="宋体"/>
          <w:sz w:val="24"/>
          <w:lang w:val="en-US" w:eastAsia="zh-CN"/>
        </w:rPr>
        <w:t>和</w:t>
      </w:r>
      <w:r>
        <w:rPr>
          <w:rFonts w:hint="eastAsia" w:ascii="宋体" w:hAnsi="宋体"/>
          <w:sz w:val="24"/>
        </w:rPr>
        <w:t>《七县主要材料市场价格信息》</w:t>
      </w:r>
      <w:r>
        <w:rPr>
          <w:rFonts w:hint="eastAsia" w:ascii="宋体" w:hAnsi="宋体"/>
          <w:sz w:val="24"/>
          <w:lang w:val="en-US" w:eastAsia="zh-CN"/>
        </w:rPr>
        <w:t>中潜山市</w:t>
      </w:r>
      <w:r>
        <w:rPr>
          <w:rFonts w:hint="eastAsia" w:ascii="宋体" w:hAnsi="宋体"/>
          <w:sz w:val="24"/>
        </w:rPr>
        <w:t>价格（不含税），缺少的材料价格执行市场价，投标报价时请自主报价。</w:t>
      </w:r>
    </w:p>
    <w:p w14:paraId="37FBF646">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十、合同价款</w:t>
      </w:r>
    </w:p>
    <w:p w14:paraId="1B5A26BC">
      <w:pPr>
        <w:keepNext w:val="0"/>
        <w:keepLines w:val="0"/>
        <w:pageBreakBefore w:val="0"/>
        <w:widowControl/>
        <w:kinsoku/>
        <w:wordWrap/>
        <w:overflowPunct w:val="0"/>
        <w:topLinePunct w:val="0"/>
        <w:bidi w:val="0"/>
        <w:adjustRightInd w:val="0"/>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 固定总价合同。总价包含的风险范围包括但不限于:人工市场价、材料费及机械费的市场价格变化:除政策性调整、不可抗力以外的其他风险，除经批准的设计变更、经济签证外，其它工程造价增减均不予签证计价。</w:t>
      </w:r>
    </w:p>
    <w:p w14:paraId="57AE0F75">
      <w:pPr>
        <w:pStyle w:val="4"/>
        <w:keepNext w:val="0"/>
        <w:keepLines w:val="0"/>
        <w:pageBreakBefore w:val="0"/>
        <w:widowControl/>
        <w:kinsoku/>
        <w:wordWrap/>
        <w:overflowPunct w:val="0"/>
        <w:topLinePunct w:val="0"/>
        <w:autoSpaceDE/>
        <w:autoSpaceDN/>
        <w:bidi w:val="0"/>
        <w:adjustRightInd w:val="0"/>
        <w:snapToGrid w:val="0"/>
        <w:spacing w:line="52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5730C0E6">
      <w:pPr>
        <w:pStyle w:val="4"/>
        <w:keepNext w:val="0"/>
        <w:keepLines w:val="0"/>
        <w:pageBreakBefore w:val="0"/>
        <w:widowControl/>
        <w:kinsoku/>
        <w:wordWrap/>
        <w:overflowPunct w:val="0"/>
        <w:topLinePunct w:val="0"/>
        <w:autoSpaceDE/>
        <w:autoSpaceDN/>
        <w:bidi w:val="0"/>
        <w:adjustRightInd w:val="0"/>
        <w:snapToGrid w:val="0"/>
        <w:spacing w:line="52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1850DFCE">
      <w:pPr>
        <w:pStyle w:val="4"/>
        <w:keepNext w:val="0"/>
        <w:keepLines w:val="0"/>
        <w:pageBreakBefore w:val="0"/>
        <w:widowControl/>
        <w:kinsoku/>
        <w:wordWrap/>
        <w:overflowPunct w:val="0"/>
        <w:topLinePunct w:val="0"/>
        <w:autoSpaceDE/>
        <w:autoSpaceDN/>
        <w:bidi w:val="0"/>
        <w:adjustRightInd w:val="0"/>
        <w:snapToGrid w:val="0"/>
        <w:spacing w:line="52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 合同价中已有适用的综合单价，按最高投标限价中的子目综合单价乘以(1-综合下浮串)进行确定:</w:t>
      </w:r>
    </w:p>
    <w:p w14:paraId="3C8A7BF8">
      <w:pPr>
        <w:pStyle w:val="4"/>
        <w:keepNext w:val="0"/>
        <w:keepLines w:val="0"/>
        <w:pageBreakBefore w:val="0"/>
        <w:widowControl/>
        <w:kinsoku/>
        <w:wordWrap/>
        <w:overflowPunct w:val="0"/>
        <w:topLinePunct w:val="0"/>
        <w:autoSpaceDE/>
        <w:autoSpaceDN/>
        <w:bidi w:val="0"/>
        <w:adjustRightInd w:val="0"/>
        <w:snapToGrid w:val="0"/>
        <w:spacing w:line="52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 合同价中有类似的综合单价，参照最高投标限价中的类似子目综合单价乘以(1-综合下浮车)确定:</w:t>
      </w:r>
    </w:p>
    <w:p w14:paraId="05D29FAC">
      <w:pPr>
        <w:pStyle w:val="4"/>
        <w:keepNext w:val="0"/>
        <w:keepLines w:val="0"/>
        <w:pageBreakBefore w:val="0"/>
        <w:widowControl/>
        <w:kinsoku/>
        <w:wordWrap/>
        <w:overflowPunct w:val="0"/>
        <w:topLinePunct w:val="0"/>
        <w:autoSpaceDE/>
        <w:autoSpaceDN/>
        <w:bidi w:val="0"/>
        <w:adjustRightInd w:val="0"/>
        <w:snapToGrid w:val="0"/>
        <w:spacing w:line="52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3) 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7FF465B5">
      <w:pPr>
        <w:pStyle w:val="4"/>
        <w:keepNext w:val="0"/>
        <w:keepLines w:val="0"/>
        <w:pageBreakBefore w:val="0"/>
        <w:widowControl/>
        <w:kinsoku/>
        <w:wordWrap/>
        <w:overflowPunct w:val="0"/>
        <w:topLinePunct w:val="0"/>
        <w:autoSpaceDE/>
        <w:autoSpaceDN/>
        <w:bidi w:val="0"/>
        <w:adjustRightInd w:val="0"/>
        <w:snapToGrid w:val="0"/>
        <w:spacing w:line="52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4.合同价中的暂列金额归项目单位所有。</w:t>
      </w:r>
    </w:p>
    <w:p w14:paraId="386C09E1">
      <w:pPr>
        <w:pStyle w:val="4"/>
        <w:keepNext w:val="0"/>
        <w:keepLines w:val="0"/>
        <w:pageBreakBefore w:val="0"/>
        <w:widowControl/>
        <w:kinsoku/>
        <w:wordWrap/>
        <w:overflowPunct w:val="0"/>
        <w:topLinePunct w:val="0"/>
        <w:autoSpaceDE/>
        <w:autoSpaceDN/>
        <w:bidi w:val="0"/>
        <w:adjustRightInd w:val="0"/>
        <w:snapToGrid w:val="0"/>
        <w:spacing w:line="52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1F14EED8">
      <w:pPr>
        <w:pStyle w:val="4"/>
        <w:keepNext w:val="0"/>
        <w:keepLines w:val="0"/>
        <w:pageBreakBefore w:val="0"/>
        <w:widowControl/>
        <w:kinsoku/>
        <w:wordWrap/>
        <w:overflowPunct w:val="0"/>
        <w:topLinePunct w:val="0"/>
        <w:autoSpaceDE/>
        <w:autoSpaceDN/>
        <w:bidi w:val="0"/>
        <w:adjustRightInd w:val="0"/>
        <w:snapToGrid w:val="0"/>
        <w:spacing w:line="52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4BBAD8D3">
      <w:pPr>
        <w:pStyle w:val="4"/>
        <w:keepNext w:val="0"/>
        <w:keepLines w:val="0"/>
        <w:pageBreakBefore w:val="0"/>
        <w:widowControl/>
        <w:kinsoku/>
        <w:wordWrap/>
        <w:overflowPunct w:val="0"/>
        <w:topLinePunct w:val="0"/>
        <w:autoSpaceDE/>
        <w:autoSpaceDN/>
        <w:bidi w:val="0"/>
        <w:adjustRightInd w:val="0"/>
        <w:snapToGrid w:val="0"/>
        <w:spacing w:line="52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7.所有工程保险费用均由承包人承担。</w:t>
      </w:r>
    </w:p>
    <w:p w14:paraId="02614861">
      <w:pPr>
        <w:pStyle w:val="4"/>
        <w:keepNext w:val="0"/>
        <w:keepLines w:val="0"/>
        <w:pageBreakBefore w:val="0"/>
        <w:kinsoku/>
        <w:wordWrap/>
        <w:overflowPunct w:val="0"/>
        <w:topLinePunct w:val="0"/>
        <w:autoSpaceDE/>
        <w:autoSpaceDN/>
        <w:bidi w:val="0"/>
        <w:spacing w:line="44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1DF099A1">
      <w:pPr>
        <w:pStyle w:val="4"/>
        <w:keepNext w:val="0"/>
        <w:keepLines w:val="0"/>
        <w:pageBreakBefore w:val="0"/>
        <w:kinsoku/>
        <w:wordWrap/>
        <w:overflowPunct w:val="0"/>
        <w:topLinePunct w:val="0"/>
        <w:autoSpaceDE/>
        <w:autoSpaceDN/>
        <w:bidi w:val="0"/>
        <w:spacing w:line="44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 xml:space="preserve">    1、</w:t>
      </w:r>
      <w:r>
        <w:rPr>
          <w:rFonts w:hint="eastAsia" w:hAnsi="宋体" w:eastAsia="宋体" w:cs="宋体"/>
          <w:b/>
          <w:bCs/>
          <w:color w:val="auto"/>
          <w:sz w:val="24"/>
          <w:szCs w:val="24"/>
        </w:rPr>
        <w:t>招标代理费、工程量清单和最高投标限价编制费</w:t>
      </w:r>
    </w:p>
    <w:p w14:paraId="695496DF">
      <w:pPr>
        <w:pStyle w:val="4"/>
        <w:keepNext w:val="0"/>
        <w:keepLines w:val="0"/>
        <w:pageBreakBefore w:val="0"/>
        <w:kinsoku/>
        <w:wordWrap/>
        <w:overflowPunct w:val="0"/>
        <w:topLinePunct w:val="0"/>
        <w:autoSpaceDE/>
        <w:autoSpaceDN/>
        <w:bidi w:val="0"/>
        <w:spacing w:line="440" w:lineRule="exact"/>
        <w:ind w:firstLine="1200" w:firstLineChars="500"/>
        <w:textAlignment w:val="auto"/>
        <w:rPr>
          <w:rFonts w:hAnsi="宋体" w:eastAsia="宋体" w:cs="宋体"/>
          <w:color w:val="auto"/>
          <w:sz w:val="24"/>
          <w:szCs w:val="24"/>
        </w:rPr>
      </w:pPr>
      <w:r>
        <w:rPr>
          <w:rFonts w:hint="eastAsia" w:hAnsi="宋体" w:eastAsia="宋体" w:cs="宋体"/>
          <w:color w:val="auto"/>
          <w:sz w:val="24"/>
          <w:szCs w:val="24"/>
        </w:rPr>
        <w:t>按差额定率累进法计算，按下表规定收取：</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583"/>
      </w:tblGrid>
      <w:tr w14:paraId="0634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4345" w:type="dxa"/>
          </w:tcPr>
          <w:p w14:paraId="1D469AA1">
            <w:pPr>
              <w:keepNext w:val="0"/>
              <w:keepLines w:val="0"/>
              <w:pageBreakBefore w:val="0"/>
              <w:kinsoku/>
              <w:wordWrap/>
              <w:overflowPunct w:val="0"/>
              <w:topLinePunct w:val="0"/>
              <w:bidi w:val="0"/>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67965" cy="724535"/>
                      <wp:effectExtent l="1270" t="4445" r="12065" b="7620"/>
                      <wp:wrapNone/>
                      <wp:docPr id="1" name="直接连接符 1"/>
                      <wp:cNvGraphicFramePr/>
                      <a:graphic xmlns:a="http://schemas.openxmlformats.org/drawingml/2006/main">
                        <a:graphicData uri="http://schemas.microsoft.com/office/word/2010/wordprocessingShape">
                          <wps:wsp>
                            <wps:cNvCnPr/>
                            <wps:spPr>
                              <a:xfrm>
                                <a:off x="0" y="0"/>
                                <a:ext cx="2767965" cy="7245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7.05pt;width:217.95pt;z-index:251659264;mso-width-relative:page;mso-height-relative:page;" filled="f" stroked="t" coordsize="21600,21600" o:gfxdata="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K5pUvWAAAACAEAAA8AAAAAAAAAAQAgAAAAIgAAAGRycy9kb3ducmV2LnhtbFBLAQIUABQAAAAI&#10;AIdO4kAqIF6n7wEAAN0DAAAOAAAAAAAAAAEAIAAAACUBAABkcnMvZTJvRG9jLnhtbFBLBQYAAAAA&#10;BgAGAFkBAACGBQ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7B6F2B58">
            <w:pPr>
              <w:keepNext w:val="0"/>
              <w:keepLines w:val="0"/>
              <w:pageBreakBefore w:val="0"/>
              <w:kinsoku/>
              <w:wordWrap/>
              <w:overflowPunct w:val="0"/>
              <w:topLinePunct w:val="0"/>
              <w:bidi w:val="0"/>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583" w:type="dxa"/>
            <w:vAlign w:val="center"/>
          </w:tcPr>
          <w:p w14:paraId="71AE31C0">
            <w:pPr>
              <w:keepNext w:val="0"/>
              <w:keepLines w:val="0"/>
              <w:pageBreakBefore w:val="0"/>
              <w:kinsoku/>
              <w:wordWrap/>
              <w:overflowPunct w:val="0"/>
              <w:topLinePunct w:val="0"/>
              <w:bidi w:val="0"/>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7C000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345" w:type="dxa"/>
            <w:vAlign w:val="center"/>
          </w:tcPr>
          <w:p w14:paraId="02525F38">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583" w:type="dxa"/>
            <w:vAlign w:val="center"/>
          </w:tcPr>
          <w:p w14:paraId="573B3E28">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7CAAA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345" w:type="dxa"/>
            <w:vAlign w:val="center"/>
          </w:tcPr>
          <w:p w14:paraId="3C701C2C">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583" w:type="dxa"/>
            <w:vAlign w:val="center"/>
          </w:tcPr>
          <w:p w14:paraId="6BF42B8A">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6E7C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345" w:type="dxa"/>
            <w:vAlign w:val="center"/>
          </w:tcPr>
          <w:p w14:paraId="4700C437">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583" w:type="dxa"/>
            <w:vAlign w:val="center"/>
          </w:tcPr>
          <w:p w14:paraId="1AAF46A3">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2C47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345" w:type="dxa"/>
            <w:vAlign w:val="center"/>
          </w:tcPr>
          <w:p w14:paraId="1D410E08">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583" w:type="dxa"/>
            <w:vAlign w:val="center"/>
          </w:tcPr>
          <w:p w14:paraId="753D8BF4">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4DA45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345" w:type="dxa"/>
            <w:vAlign w:val="center"/>
          </w:tcPr>
          <w:p w14:paraId="207E7E8A">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583" w:type="dxa"/>
            <w:vAlign w:val="center"/>
          </w:tcPr>
          <w:p w14:paraId="72EB6626">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60C21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345" w:type="dxa"/>
            <w:vAlign w:val="center"/>
          </w:tcPr>
          <w:p w14:paraId="5B10DB0A">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583" w:type="dxa"/>
            <w:vAlign w:val="center"/>
          </w:tcPr>
          <w:p w14:paraId="0511107E">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4F504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345" w:type="dxa"/>
            <w:vAlign w:val="center"/>
          </w:tcPr>
          <w:p w14:paraId="525CE1FC">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583" w:type="dxa"/>
            <w:vAlign w:val="center"/>
          </w:tcPr>
          <w:p w14:paraId="1F76B5B4">
            <w:pPr>
              <w:keepNext w:val="0"/>
              <w:keepLines w:val="0"/>
              <w:pageBreakBefore w:val="0"/>
              <w:widowControl w:val="0"/>
              <w:kinsoku/>
              <w:wordWrap/>
              <w:overflowPunct w:val="0"/>
              <w:topLinePunct w:val="0"/>
              <w:autoSpaceDE/>
              <w:autoSpaceDN/>
              <w:bidi w:val="0"/>
              <w:adjustRightInd/>
              <w:snapToGrid/>
              <w:spacing w:line="36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010CF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345" w:type="dxa"/>
            <w:vAlign w:val="center"/>
          </w:tcPr>
          <w:p w14:paraId="34538C47">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583" w:type="dxa"/>
            <w:vAlign w:val="center"/>
          </w:tcPr>
          <w:p w14:paraId="2583F32C">
            <w:pPr>
              <w:widowControl w:val="0"/>
              <w:kinsoku/>
              <w:autoSpaceDE/>
              <w:autoSpaceDN/>
              <w:adjustRightInd/>
              <w:snapToGrid/>
              <w:spacing w:line="36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0.008%</w:t>
            </w:r>
          </w:p>
        </w:tc>
      </w:tr>
      <w:tr w14:paraId="67D6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4345" w:type="dxa"/>
            <w:vAlign w:val="center"/>
          </w:tcPr>
          <w:p w14:paraId="5855F387">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583" w:type="dxa"/>
            <w:vAlign w:val="center"/>
          </w:tcPr>
          <w:p w14:paraId="2373D393">
            <w:pPr>
              <w:widowControl w:val="0"/>
              <w:kinsoku/>
              <w:autoSpaceDE/>
              <w:autoSpaceDN/>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04DB2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345" w:type="dxa"/>
            <w:vAlign w:val="center"/>
          </w:tcPr>
          <w:p w14:paraId="4967DC6D">
            <w:pPr>
              <w:keepNext w:val="0"/>
              <w:keepLines w:val="0"/>
              <w:pageBreakBefore w:val="0"/>
              <w:widowControl w:val="0"/>
              <w:kinsoku/>
              <w:wordWrap/>
              <w:overflowPunct w:val="0"/>
              <w:topLinePunct w:val="0"/>
              <w:autoSpaceDE/>
              <w:autoSpaceDN/>
              <w:bidi w:val="0"/>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583" w:type="dxa"/>
            <w:vAlign w:val="center"/>
          </w:tcPr>
          <w:p w14:paraId="5205D598">
            <w:pPr>
              <w:widowControl w:val="0"/>
              <w:kinsoku/>
              <w:autoSpaceDE/>
              <w:autoSpaceDN/>
              <w:adjustRightInd/>
              <w:snapToGrid/>
              <w:spacing w:line="36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22170445">
      <w:pPr>
        <w:pStyle w:val="4"/>
        <w:keepNext w:val="0"/>
        <w:keepLines w:val="0"/>
        <w:pageBreakBefore w:val="0"/>
        <w:kinsoku/>
        <w:wordWrap/>
        <w:overflowPunct w:val="0"/>
        <w:topLinePunct w:val="0"/>
        <w:bidi w:val="0"/>
        <w:ind w:firstLine="420"/>
        <w:rPr>
          <w:rFonts w:hint="eastAsia" w:hAnsi="宋体" w:eastAsia="宋体" w:cs="宋体"/>
          <w:color w:val="auto"/>
          <w:sz w:val="24"/>
          <w:szCs w:val="24"/>
        </w:rPr>
      </w:pPr>
    </w:p>
    <w:p w14:paraId="4749D291">
      <w:pPr>
        <w:pStyle w:val="4"/>
        <w:keepNext w:val="0"/>
        <w:keepLines w:val="0"/>
        <w:pageBreakBefore w:val="0"/>
        <w:kinsoku/>
        <w:wordWrap/>
        <w:overflowPunct w:val="0"/>
        <w:topLinePunct w:val="0"/>
        <w:bidi w:val="0"/>
        <w:ind w:firstLine="420"/>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9"/>
        <w:tblW w:w="9275" w:type="dxa"/>
        <w:jc w:val="center"/>
        <w:tblLayout w:type="fixed"/>
        <w:tblCellMar>
          <w:top w:w="0" w:type="dxa"/>
          <w:left w:w="0" w:type="dxa"/>
          <w:bottom w:w="0" w:type="dxa"/>
          <w:right w:w="0" w:type="dxa"/>
        </w:tblCellMar>
      </w:tblPr>
      <w:tblGrid>
        <w:gridCol w:w="1756"/>
        <w:gridCol w:w="1453"/>
        <w:gridCol w:w="553"/>
        <w:gridCol w:w="584"/>
        <w:gridCol w:w="584"/>
        <w:gridCol w:w="632"/>
        <w:gridCol w:w="726"/>
        <w:gridCol w:w="631"/>
        <w:gridCol w:w="758"/>
        <w:gridCol w:w="806"/>
        <w:gridCol w:w="792"/>
      </w:tblGrid>
      <w:tr w14:paraId="040F23B9">
        <w:tblPrEx>
          <w:tblCellMar>
            <w:top w:w="0" w:type="dxa"/>
            <w:left w:w="0" w:type="dxa"/>
            <w:bottom w:w="0" w:type="dxa"/>
            <w:right w:w="0" w:type="dxa"/>
          </w:tblCellMar>
        </w:tblPrEx>
        <w:trPr>
          <w:trHeight w:val="606" w:hRule="atLeast"/>
          <w:jc w:val="center"/>
        </w:trPr>
        <w:tc>
          <w:tcPr>
            <w:tcW w:w="1756" w:type="dxa"/>
            <w:tcBorders>
              <w:top w:val="single" w:color="auto" w:sz="4" w:space="0"/>
              <w:left w:val="single" w:color="auto" w:sz="4" w:space="0"/>
              <w:bottom w:val="single" w:color="auto" w:sz="4" w:space="0"/>
              <w:right w:val="single" w:color="auto" w:sz="4" w:space="0"/>
            </w:tcBorders>
            <w:vAlign w:val="center"/>
          </w:tcPr>
          <w:p w14:paraId="1A87D0FE">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53" w:type="dxa"/>
            <w:tcBorders>
              <w:top w:val="single" w:color="auto" w:sz="4" w:space="0"/>
              <w:left w:val="single" w:color="auto" w:sz="4" w:space="0"/>
              <w:bottom w:val="single" w:color="auto" w:sz="4" w:space="0"/>
              <w:right w:val="single" w:color="auto" w:sz="4" w:space="0"/>
            </w:tcBorders>
            <w:vAlign w:val="center"/>
          </w:tcPr>
          <w:p w14:paraId="26A74B68">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6066" w:type="dxa"/>
            <w:gridSpan w:val="9"/>
            <w:tcBorders>
              <w:top w:val="single" w:color="auto" w:sz="4" w:space="0"/>
              <w:left w:val="nil"/>
              <w:bottom w:val="single" w:color="auto" w:sz="4" w:space="0"/>
              <w:right w:val="single" w:color="auto" w:sz="4" w:space="0"/>
            </w:tcBorders>
            <w:vAlign w:val="center"/>
          </w:tcPr>
          <w:p w14:paraId="419DFF57">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65DC634">
        <w:tblPrEx>
          <w:tblCellMar>
            <w:top w:w="0" w:type="dxa"/>
            <w:left w:w="0" w:type="dxa"/>
            <w:bottom w:w="0" w:type="dxa"/>
            <w:right w:w="0" w:type="dxa"/>
          </w:tblCellMar>
        </w:tblPrEx>
        <w:trPr>
          <w:trHeight w:val="1065" w:hRule="atLeast"/>
          <w:jc w:val="center"/>
        </w:trPr>
        <w:tc>
          <w:tcPr>
            <w:tcW w:w="1756" w:type="dxa"/>
            <w:tcBorders>
              <w:top w:val="single" w:color="auto" w:sz="4" w:space="0"/>
              <w:left w:val="single" w:color="auto" w:sz="4" w:space="0"/>
              <w:bottom w:val="single" w:color="auto" w:sz="4" w:space="0"/>
              <w:right w:val="single" w:color="auto" w:sz="4" w:space="0"/>
            </w:tcBorders>
            <w:vAlign w:val="center"/>
          </w:tcPr>
          <w:p w14:paraId="2C95810C">
            <w:pPr>
              <w:keepNext w:val="0"/>
              <w:keepLines w:val="0"/>
              <w:pageBreakBefore w:val="0"/>
              <w:kinsoku/>
              <w:wordWrap/>
              <w:overflowPunct w:val="0"/>
              <w:topLinePunct w:val="0"/>
              <w:autoSpaceDE/>
              <w:autoSpaceDN/>
              <w:bidi w:val="0"/>
              <w:adjustRightInd/>
              <w:snapToGrid/>
              <w:spacing w:line="400" w:lineRule="exact"/>
              <w:textAlignment w:val="auto"/>
              <w:rPr>
                <w:rFonts w:ascii="宋体" w:hAnsi="宋体" w:eastAsia="宋体" w:cs="宋体"/>
                <w:color w:val="auto"/>
                <w:sz w:val="24"/>
                <w:szCs w:val="24"/>
              </w:rPr>
            </w:pPr>
          </w:p>
        </w:tc>
        <w:tc>
          <w:tcPr>
            <w:tcW w:w="1453" w:type="dxa"/>
            <w:tcBorders>
              <w:top w:val="single" w:color="auto" w:sz="4" w:space="0"/>
              <w:left w:val="single" w:color="auto" w:sz="4" w:space="0"/>
              <w:bottom w:val="single" w:color="auto" w:sz="4" w:space="0"/>
              <w:right w:val="single" w:color="auto" w:sz="4" w:space="0"/>
            </w:tcBorders>
            <w:vAlign w:val="center"/>
          </w:tcPr>
          <w:p w14:paraId="2CA5E07C">
            <w:pPr>
              <w:keepNext w:val="0"/>
              <w:keepLines w:val="0"/>
              <w:pageBreakBefore w:val="0"/>
              <w:kinsoku/>
              <w:wordWrap/>
              <w:overflowPunct w:val="0"/>
              <w:topLinePunct w:val="0"/>
              <w:autoSpaceDE/>
              <w:autoSpaceDN/>
              <w:bidi w:val="0"/>
              <w:adjustRightInd/>
              <w:snapToGrid/>
              <w:spacing w:line="400" w:lineRule="exact"/>
              <w:jc w:val="center"/>
              <w:textAlignment w:val="auto"/>
              <w:rPr>
                <w:rFonts w:ascii="宋体" w:hAnsi="宋体" w:eastAsia="宋体" w:cs="宋体"/>
                <w:color w:val="auto"/>
                <w:sz w:val="24"/>
                <w:szCs w:val="24"/>
              </w:rPr>
            </w:pPr>
          </w:p>
        </w:tc>
        <w:tc>
          <w:tcPr>
            <w:tcW w:w="553" w:type="dxa"/>
            <w:tcBorders>
              <w:top w:val="nil"/>
              <w:left w:val="nil"/>
              <w:bottom w:val="single" w:color="auto" w:sz="4" w:space="0"/>
              <w:right w:val="single" w:color="auto" w:sz="4" w:space="0"/>
            </w:tcBorders>
            <w:vAlign w:val="center"/>
          </w:tcPr>
          <w:p w14:paraId="66A07AF4">
            <w:pPr>
              <w:keepNext w:val="0"/>
              <w:keepLines w:val="0"/>
              <w:pageBreakBefore w:val="0"/>
              <w:kinsoku/>
              <w:wordWrap/>
              <w:overflowPunct w:val="0"/>
              <w:topLinePunct w:val="0"/>
              <w:autoSpaceDE/>
              <w:autoSpaceDN/>
              <w:bidi w:val="0"/>
              <w:adjustRightInd/>
              <w:snapToGrid/>
              <w:spacing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84" w:type="dxa"/>
            <w:tcBorders>
              <w:top w:val="nil"/>
              <w:left w:val="nil"/>
              <w:bottom w:val="single" w:color="auto" w:sz="4" w:space="0"/>
              <w:right w:val="single" w:color="auto" w:sz="4" w:space="0"/>
            </w:tcBorders>
            <w:vAlign w:val="center"/>
          </w:tcPr>
          <w:p w14:paraId="25314132">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84" w:type="dxa"/>
            <w:tcBorders>
              <w:top w:val="nil"/>
              <w:left w:val="nil"/>
              <w:bottom w:val="single" w:color="auto" w:sz="4" w:space="0"/>
              <w:right w:val="single" w:color="auto" w:sz="4" w:space="0"/>
            </w:tcBorders>
            <w:vAlign w:val="center"/>
          </w:tcPr>
          <w:p w14:paraId="68E471CA">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32" w:type="dxa"/>
            <w:tcBorders>
              <w:top w:val="nil"/>
              <w:left w:val="nil"/>
              <w:bottom w:val="single" w:color="auto" w:sz="4" w:space="0"/>
              <w:right w:val="single" w:color="auto" w:sz="4" w:space="0"/>
            </w:tcBorders>
            <w:vAlign w:val="center"/>
          </w:tcPr>
          <w:p w14:paraId="11424220">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26" w:type="dxa"/>
            <w:tcBorders>
              <w:top w:val="nil"/>
              <w:left w:val="nil"/>
              <w:bottom w:val="single" w:color="auto" w:sz="4" w:space="0"/>
              <w:right w:val="single" w:color="auto" w:sz="4" w:space="0"/>
            </w:tcBorders>
            <w:vAlign w:val="center"/>
          </w:tcPr>
          <w:p w14:paraId="55080BF9">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31" w:type="dxa"/>
            <w:tcBorders>
              <w:top w:val="nil"/>
              <w:left w:val="nil"/>
              <w:bottom w:val="single" w:color="auto" w:sz="4" w:space="0"/>
              <w:right w:val="single" w:color="auto" w:sz="4" w:space="0"/>
            </w:tcBorders>
            <w:vAlign w:val="center"/>
          </w:tcPr>
          <w:p w14:paraId="1F2CA87D">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58" w:type="dxa"/>
            <w:tcBorders>
              <w:top w:val="nil"/>
              <w:left w:val="nil"/>
              <w:bottom w:val="single" w:color="auto" w:sz="4" w:space="0"/>
              <w:right w:val="single" w:color="auto" w:sz="4" w:space="0"/>
            </w:tcBorders>
            <w:vAlign w:val="center"/>
          </w:tcPr>
          <w:p w14:paraId="055BA92A">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806" w:type="dxa"/>
            <w:tcBorders>
              <w:top w:val="nil"/>
              <w:left w:val="nil"/>
              <w:bottom w:val="single" w:color="auto" w:sz="4" w:space="0"/>
              <w:right w:val="single" w:color="auto" w:sz="4" w:space="0"/>
            </w:tcBorders>
            <w:vAlign w:val="center"/>
          </w:tcPr>
          <w:p w14:paraId="208E28A4">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92" w:type="dxa"/>
            <w:tcBorders>
              <w:top w:val="nil"/>
              <w:left w:val="nil"/>
              <w:bottom w:val="single" w:color="auto" w:sz="4" w:space="0"/>
              <w:right w:val="single" w:color="auto" w:sz="4" w:space="0"/>
            </w:tcBorders>
            <w:vAlign w:val="center"/>
          </w:tcPr>
          <w:p w14:paraId="67844226">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7FE07D15">
        <w:tblPrEx>
          <w:tblCellMar>
            <w:top w:w="0" w:type="dxa"/>
            <w:left w:w="0" w:type="dxa"/>
            <w:bottom w:w="0" w:type="dxa"/>
            <w:right w:w="0" w:type="dxa"/>
          </w:tblCellMar>
        </w:tblPrEx>
        <w:trPr>
          <w:trHeight w:val="1229" w:hRule="atLeast"/>
          <w:jc w:val="center"/>
        </w:trPr>
        <w:tc>
          <w:tcPr>
            <w:tcW w:w="1756" w:type="dxa"/>
            <w:vMerge w:val="restart"/>
            <w:tcBorders>
              <w:top w:val="nil"/>
              <w:left w:val="single" w:color="auto" w:sz="4" w:space="0"/>
              <w:bottom w:val="single" w:color="auto" w:sz="4" w:space="0"/>
              <w:right w:val="single" w:color="auto" w:sz="4" w:space="0"/>
            </w:tcBorders>
            <w:vAlign w:val="center"/>
          </w:tcPr>
          <w:p w14:paraId="78E33333">
            <w:pPr>
              <w:keepNext w:val="0"/>
              <w:keepLines w:val="0"/>
              <w:pageBreakBefore w:val="0"/>
              <w:kinsoku/>
              <w:wordWrap/>
              <w:overflowPunct w:val="0"/>
              <w:topLinePunct w:val="0"/>
              <w:autoSpaceDE/>
              <w:autoSpaceDN/>
              <w:bidi w:val="0"/>
              <w:adjustRightInd/>
              <w:snapToGrid/>
              <w:spacing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53" w:type="dxa"/>
            <w:vMerge w:val="restart"/>
            <w:tcBorders>
              <w:top w:val="single" w:color="auto" w:sz="4" w:space="0"/>
              <w:left w:val="single" w:color="auto" w:sz="4" w:space="0"/>
              <w:bottom w:val="single" w:color="auto" w:sz="4" w:space="0"/>
              <w:right w:val="single" w:color="auto" w:sz="4" w:space="0"/>
            </w:tcBorders>
            <w:vAlign w:val="center"/>
          </w:tcPr>
          <w:p w14:paraId="6C2C2354">
            <w:pPr>
              <w:keepNext w:val="0"/>
              <w:keepLines w:val="0"/>
              <w:pageBreakBefore w:val="0"/>
              <w:kinsoku/>
              <w:wordWrap/>
              <w:overflowPunct w:val="0"/>
              <w:topLinePunct w:val="0"/>
              <w:autoSpaceDE/>
              <w:autoSpaceDN/>
              <w:bidi w:val="0"/>
              <w:adjustRightInd/>
              <w:snapToGrid/>
              <w:spacing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0D4EA1F9">
            <w:pPr>
              <w:keepNext w:val="0"/>
              <w:keepLines w:val="0"/>
              <w:pageBreakBefore w:val="0"/>
              <w:kinsoku/>
              <w:wordWrap/>
              <w:overflowPunct w:val="0"/>
              <w:topLinePunct w:val="0"/>
              <w:autoSpaceDE/>
              <w:autoSpaceDN/>
              <w:bidi w:val="0"/>
              <w:adjustRightInd/>
              <w:snapToGrid/>
              <w:spacing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53" w:type="dxa"/>
            <w:tcBorders>
              <w:top w:val="single" w:color="auto" w:sz="4" w:space="0"/>
              <w:left w:val="single" w:color="auto" w:sz="4" w:space="0"/>
              <w:bottom w:val="single" w:color="auto" w:sz="4" w:space="0"/>
              <w:right w:val="single" w:color="auto" w:sz="4" w:space="0"/>
            </w:tcBorders>
            <w:vAlign w:val="center"/>
          </w:tcPr>
          <w:p w14:paraId="0DA243F8">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84" w:type="dxa"/>
            <w:tcBorders>
              <w:top w:val="single" w:color="auto" w:sz="4" w:space="0"/>
              <w:left w:val="single" w:color="auto" w:sz="4" w:space="0"/>
              <w:bottom w:val="single" w:color="auto" w:sz="4" w:space="0"/>
              <w:right w:val="single" w:color="auto" w:sz="4" w:space="0"/>
            </w:tcBorders>
            <w:vAlign w:val="center"/>
          </w:tcPr>
          <w:p w14:paraId="091F8987">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84" w:type="dxa"/>
            <w:tcBorders>
              <w:top w:val="single" w:color="auto" w:sz="4" w:space="0"/>
              <w:left w:val="single" w:color="auto" w:sz="4" w:space="0"/>
              <w:bottom w:val="single" w:color="auto" w:sz="4" w:space="0"/>
              <w:right w:val="single" w:color="auto" w:sz="4" w:space="0"/>
            </w:tcBorders>
            <w:vAlign w:val="center"/>
          </w:tcPr>
          <w:p w14:paraId="5E9820C7">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32" w:type="dxa"/>
            <w:tcBorders>
              <w:top w:val="single" w:color="auto" w:sz="4" w:space="0"/>
              <w:left w:val="single" w:color="auto" w:sz="4" w:space="0"/>
              <w:bottom w:val="single" w:color="auto" w:sz="4" w:space="0"/>
              <w:right w:val="single" w:color="auto" w:sz="4" w:space="0"/>
            </w:tcBorders>
            <w:vAlign w:val="center"/>
          </w:tcPr>
          <w:p w14:paraId="1BAA6CF5">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26" w:type="dxa"/>
            <w:tcBorders>
              <w:top w:val="single" w:color="auto" w:sz="4" w:space="0"/>
              <w:left w:val="single" w:color="auto" w:sz="4" w:space="0"/>
              <w:bottom w:val="single" w:color="auto" w:sz="4" w:space="0"/>
              <w:right w:val="single" w:color="auto" w:sz="4" w:space="0"/>
            </w:tcBorders>
            <w:vAlign w:val="center"/>
          </w:tcPr>
          <w:p w14:paraId="17625EAF">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31" w:type="dxa"/>
            <w:tcBorders>
              <w:top w:val="single" w:color="auto" w:sz="4" w:space="0"/>
              <w:left w:val="single" w:color="auto" w:sz="4" w:space="0"/>
              <w:bottom w:val="single" w:color="auto" w:sz="4" w:space="0"/>
              <w:right w:val="single" w:color="auto" w:sz="4" w:space="0"/>
            </w:tcBorders>
            <w:vAlign w:val="center"/>
          </w:tcPr>
          <w:p w14:paraId="0112AA99">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58" w:type="dxa"/>
            <w:tcBorders>
              <w:top w:val="single" w:color="auto" w:sz="4" w:space="0"/>
              <w:left w:val="single" w:color="auto" w:sz="4" w:space="0"/>
              <w:bottom w:val="single" w:color="auto" w:sz="4" w:space="0"/>
              <w:right w:val="single" w:color="auto" w:sz="4" w:space="0"/>
            </w:tcBorders>
            <w:vAlign w:val="center"/>
          </w:tcPr>
          <w:p w14:paraId="326533AF">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806" w:type="dxa"/>
            <w:tcBorders>
              <w:top w:val="single" w:color="auto" w:sz="4" w:space="0"/>
              <w:left w:val="single" w:color="auto" w:sz="4" w:space="0"/>
              <w:bottom w:val="single" w:color="auto" w:sz="4" w:space="0"/>
              <w:right w:val="single" w:color="auto" w:sz="4" w:space="0"/>
            </w:tcBorders>
            <w:vAlign w:val="center"/>
          </w:tcPr>
          <w:p w14:paraId="1C7EE0DA">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92" w:type="dxa"/>
            <w:tcBorders>
              <w:top w:val="single" w:color="auto" w:sz="4" w:space="0"/>
              <w:left w:val="single" w:color="auto" w:sz="4" w:space="0"/>
              <w:bottom w:val="single" w:color="auto" w:sz="4" w:space="0"/>
              <w:right w:val="single" w:color="auto" w:sz="4" w:space="0"/>
            </w:tcBorders>
            <w:vAlign w:val="center"/>
          </w:tcPr>
          <w:p w14:paraId="23743896">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4EB3A839">
        <w:tblPrEx>
          <w:tblCellMar>
            <w:top w:w="0" w:type="dxa"/>
            <w:left w:w="0" w:type="dxa"/>
            <w:bottom w:w="0" w:type="dxa"/>
            <w:right w:w="0" w:type="dxa"/>
          </w:tblCellMar>
        </w:tblPrEx>
        <w:trPr>
          <w:trHeight w:val="1221" w:hRule="atLeast"/>
          <w:jc w:val="center"/>
        </w:trPr>
        <w:tc>
          <w:tcPr>
            <w:tcW w:w="1756" w:type="dxa"/>
            <w:tcBorders>
              <w:top w:val="single" w:color="auto" w:sz="4" w:space="0"/>
              <w:left w:val="single" w:color="auto" w:sz="4" w:space="0"/>
              <w:bottom w:val="single" w:color="auto" w:sz="4" w:space="0"/>
              <w:right w:val="single" w:color="auto" w:sz="4" w:space="0"/>
            </w:tcBorders>
            <w:vAlign w:val="center"/>
          </w:tcPr>
          <w:p w14:paraId="5B83F58C">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53" w:type="dxa"/>
            <w:tcBorders>
              <w:top w:val="single" w:color="auto" w:sz="4" w:space="0"/>
              <w:left w:val="single" w:color="auto" w:sz="4" w:space="0"/>
              <w:right w:val="single" w:color="auto" w:sz="4" w:space="0"/>
            </w:tcBorders>
            <w:vAlign w:val="center"/>
          </w:tcPr>
          <w:p w14:paraId="1C6998D4">
            <w:pPr>
              <w:keepNext w:val="0"/>
              <w:keepLines w:val="0"/>
              <w:pageBreakBefore w:val="0"/>
              <w:kinsoku/>
              <w:wordWrap/>
              <w:overflowPunct w:val="0"/>
              <w:topLinePunct w:val="0"/>
              <w:autoSpaceDE/>
              <w:autoSpaceDN/>
              <w:bidi w:val="0"/>
              <w:adjustRightInd/>
              <w:snapToGrid/>
              <w:spacing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32DFD592">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53" w:type="dxa"/>
            <w:tcBorders>
              <w:top w:val="single" w:color="auto" w:sz="4" w:space="0"/>
              <w:left w:val="single" w:color="auto" w:sz="4" w:space="0"/>
              <w:right w:val="single" w:color="auto" w:sz="4" w:space="0"/>
            </w:tcBorders>
            <w:vAlign w:val="center"/>
          </w:tcPr>
          <w:p w14:paraId="1E75FD12">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84" w:type="dxa"/>
            <w:tcBorders>
              <w:top w:val="single" w:color="auto" w:sz="4" w:space="0"/>
              <w:left w:val="single" w:color="auto" w:sz="4" w:space="0"/>
              <w:right w:val="single" w:color="auto" w:sz="4" w:space="0"/>
            </w:tcBorders>
            <w:vAlign w:val="center"/>
          </w:tcPr>
          <w:p w14:paraId="5ED2C976">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84" w:type="dxa"/>
            <w:tcBorders>
              <w:top w:val="single" w:color="auto" w:sz="4" w:space="0"/>
              <w:left w:val="single" w:color="auto" w:sz="4" w:space="0"/>
              <w:right w:val="single" w:color="auto" w:sz="4" w:space="0"/>
            </w:tcBorders>
            <w:vAlign w:val="center"/>
          </w:tcPr>
          <w:p w14:paraId="3DFDE6BC">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32" w:type="dxa"/>
            <w:tcBorders>
              <w:top w:val="single" w:color="auto" w:sz="4" w:space="0"/>
              <w:left w:val="single" w:color="auto" w:sz="4" w:space="0"/>
              <w:right w:val="single" w:color="auto" w:sz="4" w:space="0"/>
            </w:tcBorders>
            <w:vAlign w:val="center"/>
          </w:tcPr>
          <w:p w14:paraId="4E90A358">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26" w:type="dxa"/>
            <w:tcBorders>
              <w:top w:val="single" w:color="auto" w:sz="4" w:space="0"/>
              <w:left w:val="single" w:color="auto" w:sz="4" w:space="0"/>
              <w:right w:val="single" w:color="auto" w:sz="4" w:space="0"/>
            </w:tcBorders>
            <w:vAlign w:val="center"/>
          </w:tcPr>
          <w:p w14:paraId="00CF34BB">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31" w:type="dxa"/>
            <w:tcBorders>
              <w:top w:val="single" w:color="auto" w:sz="4" w:space="0"/>
              <w:left w:val="single" w:color="auto" w:sz="4" w:space="0"/>
              <w:right w:val="single" w:color="auto" w:sz="4" w:space="0"/>
            </w:tcBorders>
            <w:vAlign w:val="center"/>
          </w:tcPr>
          <w:p w14:paraId="40E42CE9">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58" w:type="dxa"/>
            <w:tcBorders>
              <w:top w:val="single" w:color="auto" w:sz="4" w:space="0"/>
              <w:left w:val="single" w:color="auto" w:sz="4" w:space="0"/>
              <w:right w:val="single" w:color="auto" w:sz="4" w:space="0"/>
            </w:tcBorders>
            <w:vAlign w:val="center"/>
          </w:tcPr>
          <w:p w14:paraId="018B1862">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806" w:type="dxa"/>
            <w:tcBorders>
              <w:top w:val="single" w:color="auto" w:sz="4" w:space="0"/>
              <w:left w:val="single" w:color="auto" w:sz="4" w:space="0"/>
              <w:right w:val="single" w:color="auto" w:sz="4" w:space="0"/>
            </w:tcBorders>
            <w:vAlign w:val="center"/>
          </w:tcPr>
          <w:p w14:paraId="4B59595F">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92" w:type="dxa"/>
            <w:tcBorders>
              <w:top w:val="single" w:color="auto" w:sz="4" w:space="0"/>
              <w:left w:val="single" w:color="auto" w:sz="4" w:space="0"/>
              <w:bottom w:val="single" w:color="auto" w:sz="4" w:space="0"/>
              <w:right w:val="single" w:color="auto" w:sz="4" w:space="0"/>
            </w:tcBorders>
            <w:vAlign w:val="center"/>
          </w:tcPr>
          <w:p w14:paraId="71FC1828">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7C5F1B2E">
        <w:tblPrEx>
          <w:tblCellMar>
            <w:top w:w="0" w:type="dxa"/>
            <w:left w:w="0" w:type="dxa"/>
            <w:bottom w:w="0" w:type="dxa"/>
            <w:right w:w="0" w:type="dxa"/>
          </w:tblCellMar>
        </w:tblPrEx>
        <w:trPr>
          <w:trHeight w:val="647" w:hRule="atLeast"/>
          <w:jc w:val="center"/>
        </w:trPr>
        <w:tc>
          <w:tcPr>
            <w:tcW w:w="3209" w:type="dxa"/>
            <w:gridSpan w:val="2"/>
            <w:tcBorders>
              <w:top w:val="single" w:color="auto" w:sz="4" w:space="0"/>
              <w:left w:val="single" w:color="auto" w:sz="4" w:space="0"/>
              <w:bottom w:val="single" w:color="auto" w:sz="4" w:space="0"/>
              <w:right w:val="single" w:color="auto" w:sz="4" w:space="0"/>
            </w:tcBorders>
            <w:vAlign w:val="center"/>
          </w:tcPr>
          <w:p w14:paraId="0AC02BBC">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6066" w:type="dxa"/>
            <w:gridSpan w:val="9"/>
            <w:tcBorders>
              <w:top w:val="single" w:color="auto" w:sz="4" w:space="0"/>
              <w:left w:val="single" w:color="auto" w:sz="4" w:space="0"/>
              <w:bottom w:val="single" w:color="auto" w:sz="4" w:space="0"/>
              <w:right w:val="single" w:color="auto" w:sz="4" w:space="0"/>
            </w:tcBorders>
            <w:vAlign w:val="center"/>
          </w:tcPr>
          <w:p w14:paraId="000B0156">
            <w:pPr>
              <w:keepNext w:val="0"/>
              <w:keepLines w:val="0"/>
              <w:pageBreakBefore w:val="0"/>
              <w:kinsoku/>
              <w:wordWrap/>
              <w:overflowPunct w:val="0"/>
              <w:topLinePunct w:val="0"/>
              <w:autoSpaceDE/>
              <w:autoSpaceDN/>
              <w:bidi w:val="0"/>
              <w:adjustRightInd/>
              <w:snapToGrid/>
              <w:spacing w:before="100" w:beforeAutospacing="1" w:after="100" w:afterAutospacing="1" w:line="40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170F4CC9">
      <w:pPr>
        <w:pStyle w:val="4"/>
        <w:keepNext w:val="0"/>
        <w:keepLines w:val="0"/>
        <w:pageBreakBefore w:val="0"/>
        <w:kinsoku/>
        <w:wordWrap/>
        <w:overflowPunct w:val="0"/>
        <w:topLinePunct w:val="0"/>
        <w:autoSpaceDE/>
        <w:autoSpaceDN/>
        <w:bidi w:val="0"/>
        <w:spacing w:line="44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3DC2C1A1">
      <w:pPr>
        <w:pStyle w:val="4"/>
        <w:keepNext w:val="0"/>
        <w:keepLines w:val="0"/>
        <w:pageBreakBefore w:val="0"/>
        <w:kinsoku/>
        <w:wordWrap/>
        <w:overflowPunct w:val="0"/>
        <w:topLinePunct w:val="0"/>
        <w:autoSpaceDE/>
        <w:autoSpaceDN/>
        <w:bidi w:val="0"/>
        <w:spacing w:line="44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5CF8FD89">
      <w:pPr>
        <w:keepNext w:val="0"/>
        <w:keepLines w:val="0"/>
        <w:pageBreakBefore w:val="0"/>
        <w:kinsoku/>
        <w:wordWrap/>
        <w:overflowPunct w:val="0"/>
        <w:topLinePunct w:val="0"/>
        <w:bidi w:val="0"/>
        <w:spacing w:line="520" w:lineRule="exact"/>
        <w:rPr>
          <w:rFonts w:ascii="宋体" w:hAnsi="宋体" w:eastAsia="宋体" w:cs="宋体"/>
          <w:sz w:val="24"/>
          <w:szCs w:val="24"/>
        </w:rPr>
      </w:pPr>
      <w:r>
        <w:rPr>
          <w:rFonts w:hint="eastAsia" w:ascii="宋体" w:hAnsi="宋体" w:eastAsia="宋体" w:cs="宋体"/>
          <w:sz w:val="24"/>
          <w:szCs w:val="24"/>
        </w:rPr>
        <w:t>十二、成交供应商须知</w:t>
      </w:r>
    </w:p>
    <w:p w14:paraId="2A235474">
      <w:pPr>
        <w:keepNext w:val="0"/>
        <w:keepLines w:val="0"/>
        <w:pageBreakBefore w:val="0"/>
        <w:kinsoku/>
        <w:wordWrap/>
        <w:overflowPunct w:val="0"/>
        <w:topLinePunct w:val="0"/>
        <w:bidi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1E75F6B9">
      <w:pPr>
        <w:keepNext w:val="0"/>
        <w:keepLines w:val="0"/>
        <w:pageBreakBefore w:val="0"/>
        <w:kinsoku/>
        <w:wordWrap/>
        <w:overflowPunct w:val="0"/>
        <w:topLinePunct w:val="0"/>
        <w:bidi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6474837F">
      <w:pPr>
        <w:keepNext w:val="0"/>
        <w:keepLines w:val="0"/>
        <w:pageBreakBefore w:val="0"/>
        <w:kinsoku/>
        <w:wordWrap/>
        <w:overflowPunct w:val="0"/>
        <w:topLinePunct w:val="0"/>
        <w:bidi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p>
    <w:p w14:paraId="48DAD50A">
      <w:pPr>
        <w:keepNext w:val="0"/>
        <w:keepLines w:val="0"/>
        <w:pageBreakBefore w:val="0"/>
        <w:kinsoku/>
        <w:wordWrap/>
        <w:overflowPunct w:val="0"/>
        <w:topLinePunct w:val="0"/>
        <w:bidi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1FB3E7EB">
      <w:pPr>
        <w:keepNext w:val="0"/>
        <w:keepLines w:val="0"/>
        <w:pageBreakBefore w:val="0"/>
        <w:kinsoku/>
        <w:wordWrap/>
        <w:overflowPunct w:val="0"/>
        <w:topLinePunct w:val="0"/>
        <w:bidi w:val="0"/>
        <w:spacing w:line="52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4698BC43">
      <w:pPr>
        <w:keepNext w:val="0"/>
        <w:keepLines w:val="0"/>
        <w:pageBreakBefore w:val="0"/>
        <w:kinsoku/>
        <w:wordWrap/>
        <w:overflowPunct w:val="0"/>
        <w:topLinePunct w:val="0"/>
        <w:bidi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6.合同文件组成及优先顺序为:(1)成交通知书；(2)交易文件；(3)合同协议书；(4)合同专用条款；(5)合同通用条款；(6)列入合同的投标辅助资料。</w:t>
      </w:r>
    </w:p>
    <w:p w14:paraId="25CB5BAF">
      <w:pPr>
        <w:pStyle w:val="4"/>
        <w:keepNext w:val="0"/>
        <w:keepLines w:val="0"/>
        <w:pageBreakBefore w:val="0"/>
        <w:widowControl/>
        <w:kinsoku/>
        <w:wordWrap/>
        <w:overflowPunct w:val="0"/>
        <w:topLinePunct w:val="0"/>
        <w:bidi w:val="0"/>
        <w:spacing w:line="500" w:lineRule="exact"/>
        <w:ind w:firstLine="420"/>
        <w:rPr>
          <w:rFonts w:hint="eastAsia" w:ascii="宋体" w:hAnsi="宋体" w:cs="宋体"/>
          <w:color w:val="auto"/>
          <w:sz w:val="24"/>
          <w:highlight w:val="none"/>
        </w:rPr>
      </w:pPr>
    </w:p>
    <w:sectPr>
      <w:footerReference r:id="rId6" w:type="default"/>
      <w:pgSz w:w="11906" w:h="16839"/>
      <w:pgMar w:top="1145" w:right="1349" w:bottom="1151" w:left="1355" w:header="0" w:footer="1035"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1EF55">
    <w:pPr>
      <w:pStyle w:val="5"/>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266D3">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6D940D">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6D940D">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BF094"/>
    <w:multiLevelType w:val="singleLevel"/>
    <w:tmpl w:val="8DCBF094"/>
    <w:lvl w:ilvl="0" w:tentative="0">
      <w:start w:val="1"/>
      <w:numFmt w:val="bullet"/>
      <w:pStyle w:val="3"/>
      <w:lvlText w:val=""/>
      <w:lvlJc w:val="left"/>
      <w:pPr>
        <w:tabs>
          <w:tab w:val="left" w:pos="780"/>
        </w:tabs>
        <w:ind w:left="780" w:hanging="360"/>
      </w:pPr>
      <w:rPr>
        <w:rFonts w:hint="default" w:ascii="Wingdings" w:hAnsi="Wingdings"/>
      </w:rPr>
    </w:lvl>
  </w:abstractNum>
  <w:abstractNum w:abstractNumId="1">
    <w:nsid w:val="2A946C01"/>
    <w:multiLevelType w:val="singleLevel"/>
    <w:tmpl w:val="2A946C01"/>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s>
  <w:rsids>
    <w:rsidRoot w:val="00000000"/>
    <w:rsid w:val="00027325"/>
    <w:rsid w:val="00755DF0"/>
    <w:rsid w:val="027C16B8"/>
    <w:rsid w:val="02953710"/>
    <w:rsid w:val="03502BE6"/>
    <w:rsid w:val="041A3599"/>
    <w:rsid w:val="04223B99"/>
    <w:rsid w:val="04FA2D68"/>
    <w:rsid w:val="06BD229F"/>
    <w:rsid w:val="085131C2"/>
    <w:rsid w:val="086E01EF"/>
    <w:rsid w:val="08D631A4"/>
    <w:rsid w:val="08FB7064"/>
    <w:rsid w:val="09507B30"/>
    <w:rsid w:val="09AF3859"/>
    <w:rsid w:val="09EB2C66"/>
    <w:rsid w:val="0AB35E1D"/>
    <w:rsid w:val="0C551852"/>
    <w:rsid w:val="0D5D20E6"/>
    <w:rsid w:val="0D9C2C0E"/>
    <w:rsid w:val="0DEE2D3E"/>
    <w:rsid w:val="0E9B2EC6"/>
    <w:rsid w:val="0ED06278"/>
    <w:rsid w:val="103508CC"/>
    <w:rsid w:val="11007432"/>
    <w:rsid w:val="11716160"/>
    <w:rsid w:val="120C7C36"/>
    <w:rsid w:val="12867141"/>
    <w:rsid w:val="130B3C67"/>
    <w:rsid w:val="13451652"/>
    <w:rsid w:val="13AD4FA0"/>
    <w:rsid w:val="13CD70A0"/>
    <w:rsid w:val="14641734"/>
    <w:rsid w:val="15202899"/>
    <w:rsid w:val="15CD7D89"/>
    <w:rsid w:val="17BA68BD"/>
    <w:rsid w:val="17E95623"/>
    <w:rsid w:val="180C1828"/>
    <w:rsid w:val="18115C87"/>
    <w:rsid w:val="18C14228"/>
    <w:rsid w:val="1B4D7E36"/>
    <w:rsid w:val="1B833280"/>
    <w:rsid w:val="1BEA548C"/>
    <w:rsid w:val="1D1C3479"/>
    <w:rsid w:val="1DB66309"/>
    <w:rsid w:val="1E3D48F2"/>
    <w:rsid w:val="1EBD1C03"/>
    <w:rsid w:val="1FAD4807"/>
    <w:rsid w:val="20024DEA"/>
    <w:rsid w:val="2049614D"/>
    <w:rsid w:val="21013B3E"/>
    <w:rsid w:val="21582E98"/>
    <w:rsid w:val="21F11323"/>
    <w:rsid w:val="22121409"/>
    <w:rsid w:val="22F32E79"/>
    <w:rsid w:val="237C1ADB"/>
    <w:rsid w:val="25081060"/>
    <w:rsid w:val="255F2A47"/>
    <w:rsid w:val="25845FD4"/>
    <w:rsid w:val="25893620"/>
    <w:rsid w:val="25B52667"/>
    <w:rsid w:val="26D66D39"/>
    <w:rsid w:val="26E37335"/>
    <w:rsid w:val="27402D7B"/>
    <w:rsid w:val="27B77554"/>
    <w:rsid w:val="28E96337"/>
    <w:rsid w:val="29183639"/>
    <w:rsid w:val="29DA1CF4"/>
    <w:rsid w:val="29FF65A7"/>
    <w:rsid w:val="2A77438F"/>
    <w:rsid w:val="2A9622C4"/>
    <w:rsid w:val="2B945D2B"/>
    <w:rsid w:val="2BA41FA0"/>
    <w:rsid w:val="2C6646BB"/>
    <w:rsid w:val="2D3032C7"/>
    <w:rsid w:val="2DF4269C"/>
    <w:rsid w:val="2E0917A2"/>
    <w:rsid w:val="2EB37960"/>
    <w:rsid w:val="2F2F763C"/>
    <w:rsid w:val="30943068"/>
    <w:rsid w:val="30DD6F16"/>
    <w:rsid w:val="311B7A2C"/>
    <w:rsid w:val="323C34E1"/>
    <w:rsid w:val="3291620A"/>
    <w:rsid w:val="329201BA"/>
    <w:rsid w:val="34DC3503"/>
    <w:rsid w:val="34EE520C"/>
    <w:rsid w:val="36500EBB"/>
    <w:rsid w:val="36587F47"/>
    <w:rsid w:val="36AF0AE2"/>
    <w:rsid w:val="3C4A2E77"/>
    <w:rsid w:val="3CDE1937"/>
    <w:rsid w:val="3D322239"/>
    <w:rsid w:val="3D3A1978"/>
    <w:rsid w:val="3D9D3CB5"/>
    <w:rsid w:val="3EFF68C4"/>
    <w:rsid w:val="3FDB6D16"/>
    <w:rsid w:val="3FFC4ED7"/>
    <w:rsid w:val="40D064AA"/>
    <w:rsid w:val="41537DDB"/>
    <w:rsid w:val="42360234"/>
    <w:rsid w:val="426E58B1"/>
    <w:rsid w:val="42764ABC"/>
    <w:rsid w:val="42F601F8"/>
    <w:rsid w:val="436B215F"/>
    <w:rsid w:val="437B6B37"/>
    <w:rsid w:val="43F40E9F"/>
    <w:rsid w:val="44514A2B"/>
    <w:rsid w:val="44C22386"/>
    <w:rsid w:val="456411E2"/>
    <w:rsid w:val="45C73FC5"/>
    <w:rsid w:val="46E816C5"/>
    <w:rsid w:val="470C6325"/>
    <w:rsid w:val="47574ED5"/>
    <w:rsid w:val="478642DC"/>
    <w:rsid w:val="487D096B"/>
    <w:rsid w:val="49441489"/>
    <w:rsid w:val="498D09FC"/>
    <w:rsid w:val="49916890"/>
    <w:rsid w:val="4A9147CC"/>
    <w:rsid w:val="4B0A1FBD"/>
    <w:rsid w:val="4C4C5224"/>
    <w:rsid w:val="4C50175E"/>
    <w:rsid w:val="4C665E5E"/>
    <w:rsid w:val="4CE4545C"/>
    <w:rsid w:val="4D7540FC"/>
    <w:rsid w:val="4E2F1FDA"/>
    <w:rsid w:val="4EBB66D9"/>
    <w:rsid w:val="4F0E67C1"/>
    <w:rsid w:val="4FCE7CFE"/>
    <w:rsid w:val="4FDE2637"/>
    <w:rsid w:val="500B026E"/>
    <w:rsid w:val="506F0E1C"/>
    <w:rsid w:val="50D433E4"/>
    <w:rsid w:val="51312C3A"/>
    <w:rsid w:val="522D56DF"/>
    <w:rsid w:val="534F0AA1"/>
    <w:rsid w:val="54036579"/>
    <w:rsid w:val="5578388A"/>
    <w:rsid w:val="5680054C"/>
    <w:rsid w:val="57F07926"/>
    <w:rsid w:val="59A669BC"/>
    <w:rsid w:val="5A4656F9"/>
    <w:rsid w:val="5A801974"/>
    <w:rsid w:val="5A9102A6"/>
    <w:rsid w:val="5AC621DF"/>
    <w:rsid w:val="5BE77522"/>
    <w:rsid w:val="5BF4600D"/>
    <w:rsid w:val="5C340933"/>
    <w:rsid w:val="5CDA034F"/>
    <w:rsid w:val="5D272EF3"/>
    <w:rsid w:val="5DEC65D2"/>
    <w:rsid w:val="5F132558"/>
    <w:rsid w:val="5FD47F82"/>
    <w:rsid w:val="60310561"/>
    <w:rsid w:val="60331E76"/>
    <w:rsid w:val="620B7AB5"/>
    <w:rsid w:val="62195750"/>
    <w:rsid w:val="62570BD6"/>
    <w:rsid w:val="634560D1"/>
    <w:rsid w:val="640D4E41"/>
    <w:rsid w:val="651E50BD"/>
    <w:rsid w:val="667E3DD4"/>
    <w:rsid w:val="675C672D"/>
    <w:rsid w:val="682B3AE8"/>
    <w:rsid w:val="68674D0B"/>
    <w:rsid w:val="68CA1E7E"/>
    <w:rsid w:val="69076303"/>
    <w:rsid w:val="69160DFC"/>
    <w:rsid w:val="693A66F8"/>
    <w:rsid w:val="69A04B9C"/>
    <w:rsid w:val="69FE1D6E"/>
    <w:rsid w:val="6B145035"/>
    <w:rsid w:val="6C0D2C78"/>
    <w:rsid w:val="6C6D28D7"/>
    <w:rsid w:val="6CA061B7"/>
    <w:rsid w:val="6CF13A06"/>
    <w:rsid w:val="6D4D4E2F"/>
    <w:rsid w:val="6DF54742"/>
    <w:rsid w:val="6EB90223"/>
    <w:rsid w:val="6F1E1891"/>
    <w:rsid w:val="6F7A55CF"/>
    <w:rsid w:val="704F495A"/>
    <w:rsid w:val="707F0A88"/>
    <w:rsid w:val="709556A4"/>
    <w:rsid w:val="70DC62C7"/>
    <w:rsid w:val="71033854"/>
    <w:rsid w:val="71946BA2"/>
    <w:rsid w:val="734E4536"/>
    <w:rsid w:val="74CC33F6"/>
    <w:rsid w:val="750B53AD"/>
    <w:rsid w:val="756677F3"/>
    <w:rsid w:val="762B73A9"/>
    <w:rsid w:val="76C715AC"/>
    <w:rsid w:val="76E23B72"/>
    <w:rsid w:val="7A4078C7"/>
    <w:rsid w:val="7A4153ED"/>
    <w:rsid w:val="7A74166D"/>
    <w:rsid w:val="7C801B3B"/>
    <w:rsid w:val="7C87296A"/>
    <w:rsid w:val="7C8C5C2B"/>
    <w:rsid w:val="7D43108C"/>
    <w:rsid w:val="7DDA1DE0"/>
    <w:rsid w:val="7E4A2A41"/>
    <w:rsid w:val="7EB404E8"/>
    <w:rsid w:val="7EC42148"/>
    <w:rsid w:val="7EFF5D4D"/>
    <w:rsid w:val="7F494366"/>
    <w:rsid w:val="7F8F09A8"/>
    <w:rsid w:val="7F9F508F"/>
    <w:rsid w:val="7FF048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afterLines="0"/>
    </w:pPr>
  </w:style>
  <w:style w:type="paragraph" w:styleId="3">
    <w:name w:val="List Bullet 2"/>
    <w:basedOn w:val="1"/>
    <w:autoRedefine/>
    <w:qFormat/>
    <w:uiPriority w:val="0"/>
    <w:pPr>
      <w:numPr>
        <w:ilvl w:val="0"/>
        <w:numId w:val="1"/>
      </w:numPr>
    </w:pPr>
  </w:style>
  <w:style w:type="paragraph" w:styleId="4">
    <w:name w:val="Plain Text"/>
    <w:basedOn w:val="1"/>
    <w:next w:val="1"/>
    <w:autoRedefine/>
    <w:unhideWhenUsed/>
    <w:qFormat/>
    <w:uiPriority w:val="99"/>
    <w:rPr>
      <w:rFonts w:ascii="宋体" w:hAnsi="Courier New"/>
      <w:szCs w:val="21"/>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2"/>
    <w:autoRedefine/>
    <w:unhideWhenUsed/>
    <w:qFormat/>
    <w:uiPriority w:val="99"/>
    <w:pPr>
      <w:tabs>
        <w:tab w:val="left" w:pos="567"/>
      </w:tabs>
      <w:spacing w:line="360" w:lineRule="auto"/>
      <w:ind w:firstLine="420" w:firstLineChars="100"/>
    </w:pPr>
    <w:rPr>
      <w:rFonts w:ascii="Times New Roman" w:hAnsi="Times New Roman"/>
      <w:sz w:val="21"/>
      <w:szCs w:val="21"/>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bCs/>
    </w:rPr>
  </w:style>
  <w:style w:type="character" w:styleId="13">
    <w:name w:val="FollowedHyperlink"/>
    <w:basedOn w:val="11"/>
    <w:autoRedefine/>
    <w:qFormat/>
    <w:uiPriority w:val="0"/>
    <w:rPr>
      <w:color w:val="5C5C5C"/>
      <w:u w:val="none"/>
    </w:rPr>
  </w:style>
  <w:style w:type="character" w:styleId="14">
    <w:name w:val="Emphasis"/>
    <w:basedOn w:val="11"/>
    <w:autoRedefine/>
    <w:qFormat/>
    <w:uiPriority w:val="0"/>
    <w:rPr>
      <w:b/>
      <w:bCs/>
    </w:rPr>
  </w:style>
  <w:style w:type="character" w:styleId="15">
    <w:name w:val="HTML Definition"/>
    <w:basedOn w:val="11"/>
    <w:autoRedefine/>
    <w:qFormat/>
    <w:uiPriority w:val="0"/>
  </w:style>
  <w:style w:type="character" w:styleId="16">
    <w:name w:val="HTML Typewriter"/>
    <w:basedOn w:val="11"/>
    <w:autoRedefine/>
    <w:qFormat/>
    <w:uiPriority w:val="0"/>
    <w:rPr>
      <w:rFonts w:hint="default" w:ascii="monospace" w:hAnsi="monospace" w:eastAsia="monospace" w:cs="monospace"/>
      <w:sz w:val="20"/>
    </w:rPr>
  </w:style>
  <w:style w:type="character" w:styleId="17">
    <w:name w:val="HTML Acronym"/>
    <w:basedOn w:val="11"/>
    <w:autoRedefine/>
    <w:qFormat/>
    <w:uiPriority w:val="0"/>
  </w:style>
  <w:style w:type="character" w:styleId="18">
    <w:name w:val="HTML Variable"/>
    <w:basedOn w:val="11"/>
    <w:autoRedefine/>
    <w:qFormat/>
    <w:uiPriority w:val="0"/>
  </w:style>
  <w:style w:type="character" w:styleId="19">
    <w:name w:val="Hyperlink"/>
    <w:basedOn w:val="11"/>
    <w:autoRedefine/>
    <w:qFormat/>
    <w:uiPriority w:val="0"/>
    <w:rPr>
      <w:color w:val="5C5C5C"/>
      <w:u w:val="none"/>
    </w:rPr>
  </w:style>
  <w:style w:type="character" w:styleId="20">
    <w:name w:val="HTML Code"/>
    <w:basedOn w:val="11"/>
    <w:autoRedefine/>
    <w:qFormat/>
    <w:uiPriority w:val="0"/>
    <w:rPr>
      <w:rFonts w:hint="default" w:ascii="monospace" w:hAnsi="monospace" w:eastAsia="monospace" w:cs="monospace"/>
      <w:sz w:val="20"/>
    </w:rPr>
  </w:style>
  <w:style w:type="character" w:styleId="21">
    <w:name w:val="HTML Cite"/>
    <w:basedOn w:val="11"/>
    <w:autoRedefine/>
    <w:qFormat/>
    <w:uiPriority w:val="0"/>
  </w:style>
  <w:style w:type="character" w:styleId="22">
    <w:name w:val="HTML Keyboard"/>
    <w:basedOn w:val="11"/>
    <w:autoRedefine/>
    <w:qFormat/>
    <w:uiPriority w:val="0"/>
    <w:rPr>
      <w:rFonts w:hint="default" w:ascii="monospace" w:hAnsi="monospace" w:eastAsia="monospace" w:cs="monospace"/>
      <w:sz w:val="20"/>
    </w:rPr>
  </w:style>
  <w:style w:type="character" w:styleId="23">
    <w:name w:val="HTML Sample"/>
    <w:basedOn w:val="11"/>
    <w:autoRedefine/>
    <w:qFormat/>
    <w:uiPriority w:val="0"/>
    <w:rPr>
      <w:rFonts w:ascii="monospace" w:hAnsi="monospace" w:eastAsia="monospace" w:cs="monospace"/>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character" w:customStyle="1" w:styleId="25">
    <w:name w:val="hover"/>
    <w:basedOn w:val="11"/>
    <w:autoRedefine/>
    <w:qFormat/>
    <w:uiPriority w:val="0"/>
  </w:style>
  <w:style w:type="character" w:customStyle="1" w:styleId="26">
    <w:name w:val="hover1"/>
    <w:basedOn w:val="11"/>
    <w:autoRedefine/>
    <w:qFormat/>
    <w:uiPriority w:val="0"/>
    <w:rPr>
      <w:color w:val="2590EB"/>
    </w:rPr>
  </w:style>
  <w:style w:type="character" w:customStyle="1" w:styleId="27">
    <w:name w:val="hover2"/>
    <w:basedOn w:val="11"/>
    <w:autoRedefine/>
    <w:qFormat/>
    <w:uiPriority w:val="0"/>
    <w:rPr>
      <w:color w:val="2590EB"/>
    </w:rPr>
  </w:style>
  <w:style w:type="character" w:customStyle="1" w:styleId="28">
    <w:name w:val="hover3"/>
    <w:basedOn w:val="11"/>
    <w:autoRedefine/>
    <w:qFormat/>
    <w:uiPriority w:val="0"/>
    <w:rPr>
      <w:color w:val="2590EB"/>
      <w:shd w:val="clear" w:fill="E9F4FD"/>
    </w:rPr>
  </w:style>
  <w:style w:type="paragraph" w:customStyle="1" w:styleId="29">
    <w:name w:val="p"/>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hover4"/>
    <w:basedOn w:val="11"/>
    <w:autoRedefine/>
    <w:qFormat/>
    <w:uiPriority w:val="0"/>
  </w:style>
  <w:style w:type="character" w:customStyle="1" w:styleId="31">
    <w:name w:val="layui-layer-tabnow"/>
    <w:basedOn w:val="11"/>
    <w:qFormat/>
    <w:uiPriority w:val="0"/>
    <w:rPr>
      <w:bdr w:val="single" w:color="CCCCCC" w:sz="6" w:space="0"/>
      <w:shd w:val="clear" w:fill="FFFFFF"/>
    </w:rPr>
  </w:style>
  <w:style w:type="character" w:customStyle="1" w:styleId="32">
    <w:name w:val="first-child"/>
    <w:basedOn w:val="11"/>
    <w:qFormat/>
    <w:uiPriority w:val="0"/>
  </w:style>
  <w:style w:type="paragraph" w:styleId="33">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6143</Words>
  <Characters>6673</Characters>
  <TotalTime>0</TotalTime>
  <ScaleCrop>false</ScaleCrop>
  <LinksUpToDate>false</LinksUpToDate>
  <CharactersWithSpaces>6835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2024-07-08T03:45:00Z</cp:lastPrinted>
  <dcterms:modified xsi:type="dcterms:W3CDTF">2024-08-12T07:22:56Z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2052-12.1.0.17827</vt:lpwstr>
  </property>
  <property fmtid="{D5CDD505-2E9C-101B-9397-08002B2CF9AE}" pid="5" name="ICV">
    <vt:lpwstr>CB36360CA4504ED8B52776252CD37B15_13</vt:lpwstr>
  </property>
</Properties>
</file>